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jc w:val="center"/>
        <w:rPr>
          <w:rFonts w:ascii="Segoe UI" w:hAnsi="Segoe UI" w:cs="Segoe UI"/>
          <w:sz w:val="20"/>
          <w:szCs w:val="20"/>
        </w:rPr>
      </w:pPr>
      <w:r>
        <w:rPr>
          <w:rStyle w:val="11"/>
          <w:rFonts w:hint="eastAsia" w:ascii="黑体" w:hAnsi="黑体" w:eastAsia="黑体" w:cs="Segoe UI"/>
          <w:color w:val="000000"/>
          <w:sz w:val="28"/>
          <w:szCs w:val="28"/>
        </w:rPr>
        <w:t>关于做好华东师范</w:t>
      </w:r>
      <w:r>
        <w:rPr>
          <w:rStyle w:val="11"/>
          <w:rFonts w:ascii="黑体" w:hAnsi="黑体" w:eastAsia="黑体" w:cs="Segoe UI"/>
          <w:color w:val="000000"/>
          <w:sz w:val="28"/>
          <w:szCs w:val="28"/>
        </w:rPr>
        <w:t>大学</w:t>
      </w:r>
      <w:r>
        <w:rPr>
          <w:rStyle w:val="11"/>
          <w:rFonts w:hint="eastAsia" w:ascii="黑体" w:hAnsi="黑体" w:eastAsia="黑体" w:cs="Segoe UI"/>
          <w:color w:val="000000"/>
          <w:sz w:val="28"/>
          <w:szCs w:val="28"/>
        </w:rPr>
        <w:t>2023年度优秀毕业生评选工作的通知</w:t>
      </w:r>
      <w:r>
        <w:rPr>
          <w:rFonts w:ascii="Segoe UI" w:hAnsi="Segoe UI" w:cs="Segoe UI"/>
          <w:sz w:val="20"/>
          <w:szCs w:val="20"/>
        </w:rPr>
        <w:t> </w:t>
      </w:r>
    </w:p>
    <w:p>
      <w:pPr>
        <w:pStyle w:val="7"/>
        <w:rPr>
          <w:rFonts w:ascii="Segoe UI" w:hAnsi="Segoe UI" w:cs="Segoe UI"/>
          <w:sz w:val="20"/>
          <w:szCs w:val="20"/>
        </w:rPr>
      </w:pPr>
      <w:r>
        <w:rPr>
          <w:rStyle w:val="11"/>
          <w:rFonts w:hint="eastAsia" w:ascii="仿宋" w:hAnsi="仿宋" w:eastAsia="仿宋" w:cs="Segoe UI"/>
          <w:color w:val="000000"/>
          <w:sz w:val="28"/>
          <w:szCs w:val="28"/>
        </w:rPr>
        <w:t>各单位：</w:t>
      </w:r>
    </w:p>
    <w:p>
      <w:pPr>
        <w:pStyle w:val="7"/>
        <w:ind w:firstLine="560" w:firstLineChars="200"/>
        <w:jc w:val="both"/>
        <w:rPr>
          <w:rFonts w:ascii="仿宋" w:hAnsi="仿宋" w:eastAsia="仿宋" w:cs="Segoe UI"/>
          <w:color w:val="000000"/>
          <w:sz w:val="28"/>
          <w:szCs w:val="28"/>
        </w:rPr>
      </w:pPr>
      <w:r>
        <w:rPr>
          <w:rFonts w:hint="eastAsia" w:ascii="仿宋" w:hAnsi="仿宋" w:eastAsia="仿宋" w:cs="Segoe UI"/>
          <w:color w:val="000000"/>
          <w:sz w:val="28"/>
          <w:szCs w:val="28"/>
        </w:rPr>
        <w:t>根据《上海市教育委员会关于做好2023年度上海市普通高等学校优秀毕业生评选工作的通知》（沪教委学〔</w:t>
      </w:r>
      <w:r>
        <w:rPr>
          <w:rFonts w:ascii="仿宋" w:hAnsi="仿宋" w:eastAsia="仿宋" w:cs="Segoe UI"/>
          <w:color w:val="000000"/>
          <w:sz w:val="28"/>
          <w:szCs w:val="28"/>
        </w:rPr>
        <w:t>202</w:t>
      </w:r>
      <w:r>
        <w:rPr>
          <w:rFonts w:hint="eastAsia" w:ascii="仿宋" w:hAnsi="仿宋" w:eastAsia="仿宋" w:cs="Segoe UI"/>
          <w:color w:val="000000"/>
          <w:sz w:val="28"/>
          <w:szCs w:val="28"/>
        </w:rPr>
        <w:t>3</w:t>
      </w:r>
      <w:r>
        <w:rPr>
          <w:rFonts w:ascii="仿宋" w:hAnsi="仿宋" w:eastAsia="仿宋" w:cs="Segoe UI"/>
          <w:color w:val="000000"/>
          <w:sz w:val="28"/>
          <w:szCs w:val="28"/>
        </w:rPr>
        <w:t>〕</w:t>
      </w:r>
      <w:r>
        <w:rPr>
          <w:rFonts w:hint="eastAsia" w:ascii="仿宋" w:hAnsi="仿宋" w:eastAsia="仿宋" w:cs="Segoe UI"/>
          <w:color w:val="000000"/>
          <w:sz w:val="28"/>
          <w:szCs w:val="28"/>
        </w:rPr>
        <w:t>1</w:t>
      </w:r>
      <w:r>
        <w:rPr>
          <w:rFonts w:ascii="仿宋" w:hAnsi="仿宋" w:eastAsia="仿宋" w:cs="Segoe UI"/>
          <w:color w:val="000000"/>
          <w:sz w:val="28"/>
          <w:szCs w:val="28"/>
        </w:rPr>
        <w:t>号</w:t>
      </w:r>
      <w:r>
        <w:rPr>
          <w:rFonts w:hint="eastAsia" w:ascii="仿宋" w:hAnsi="仿宋" w:eastAsia="仿宋" w:cs="Segoe UI"/>
          <w:color w:val="000000"/>
          <w:sz w:val="28"/>
          <w:szCs w:val="28"/>
        </w:rPr>
        <w:t>）、《教育部办公厅等五个部门关于进一步做好非全日制研究生就业工作的通知》（教研厅函〔</w:t>
      </w:r>
      <w:r>
        <w:rPr>
          <w:rFonts w:ascii="仿宋" w:hAnsi="仿宋" w:eastAsia="仿宋" w:cs="Segoe UI"/>
          <w:color w:val="000000"/>
          <w:sz w:val="28"/>
          <w:szCs w:val="28"/>
        </w:rPr>
        <w:t>20</w:t>
      </w:r>
      <w:r>
        <w:rPr>
          <w:rFonts w:hint="eastAsia" w:ascii="仿宋" w:hAnsi="仿宋" w:eastAsia="仿宋" w:cs="Segoe UI"/>
          <w:color w:val="000000"/>
          <w:sz w:val="28"/>
          <w:szCs w:val="28"/>
        </w:rPr>
        <w:t>19</w:t>
      </w:r>
      <w:r>
        <w:rPr>
          <w:rFonts w:ascii="仿宋" w:hAnsi="仿宋" w:eastAsia="仿宋" w:cs="Segoe UI"/>
          <w:color w:val="000000"/>
          <w:sz w:val="28"/>
          <w:szCs w:val="28"/>
        </w:rPr>
        <w:t>〕</w:t>
      </w:r>
      <w:r>
        <w:rPr>
          <w:rFonts w:hint="eastAsia" w:ascii="仿宋" w:hAnsi="仿宋" w:eastAsia="仿宋" w:cs="Segoe UI"/>
          <w:color w:val="000000"/>
          <w:sz w:val="28"/>
          <w:szCs w:val="28"/>
        </w:rPr>
        <w:t>1</w:t>
      </w:r>
      <w:r>
        <w:rPr>
          <w:rFonts w:ascii="仿宋" w:hAnsi="仿宋" w:eastAsia="仿宋" w:cs="Segoe UI"/>
          <w:color w:val="000000"/>
          <w:sz w:val="28"/>
          <w:szCs w:val="28"/>
        </w:rPr>
        <w:t xml:space="preserve"> 号</w:t>
      </w:r>
      <w:r>
        <w:rPr>
          <w:rFonts w:hint="eastAsia" w:ascii="仿宋" w:hAnsi="仿宋" w:eastAsia="仿宋" w:cs="Segoe UI"/>
          <w:color w:val="000000"/>
          <w:sz w:val="28"/>
          <w:szCs w:val="28"/>
        </w:rPr>
        <w:t>）文件精神及《华东师范大学优秀毕业生评选办法》（华师学〔</w:t>
      </w:r>
      <w:r>
        <w:rPr>
          <w:rFonts w:ascii="仿宋" w:hAnsi="仿宋" w:eastAsia="仿宋" w:cs="Segoe UI"/>
          <w:color w:val="000000"/>
          <w:sz w:val="28"/>
          <w:szCs w:val="28"/>
        </w:rPr>
        <w:t>202</w:t>
      </w:r>
      <w:r>
        <w:rPr>
          <w:rFonts w:hint="eastAsia" w:ascii="仿宋" w:hAnsi="仿宋" w:eastAsia="仿宋" w:cs="Segoe UI"/>
          <w:color w:val="000000"/>
          <w:sz w:val="28"/>
          <w:szCs w:val="28"/>
        </w:rPr>
        <w:t>1</w:t>
      </w:r>
      <w:r>
        <w:rPr>
          <w:rFonts w:ascii="仿宋" w:hAnsi="仿宋" w:eastAsia="仿宋" w:cs="Segoe UI"/>
          <w:color w:val="000000"/>
          <w:sz w:val="28"/>
          <w:szCs w:val="28"/>
        </w:rPr>
        <w:t>〕</w:t>
      </w:r>
      <w:r>
        <w:rPr>
          <w:rFonts w:hint="eastAsia" w:ascii="仿宋" w:hAnsi="仿宋" w:eastAsia="仿宋" w:cs="Segoe UI"/>
          <w:color w:val="000000"/>
          <w:sz w:val="28"/>
          <w:szCs w:val="28"/>
        </w:rPr>
        <w:t>26</w:t>
      </w:r>
      <w:r>
        <w:rPr>
          <w:rFonts w:ascii="仿宋" w:hAnsi="仿宋" w:eastAsia="仿宋" w:cs="Segoe UI"/>
          <w:color w:val="000000"/>
          <w:sz w:val="28"/>
          <w:szCs w:val="28"/>
        </w:rPr>
        <w:t>号</w:t>
      </w:r>
      <w:r>
        <w:rPr>
          <w:rFonts w:hint="eastAsia" w:ascii="仿宋" w:hAnsi="仿宋" w:eastAsia="仿宋" w:cs="Segoe UI"/>
          <w:color w:val="000000"/>
          <w:sz w:val="28"/>
          <w:szCs w:val="28"/>
        </w:rPr>
        <w:t>）的相关规定，现将2023年度本科生、研究生优秀毕业生评选工作通知如下：</w:t>
      </w:r>
    </w:p>
    <w:p>
      <w:pPr>
        <w:pStyle w:val="7"/>
        <w:rPr>
          <w:rFonts w:ascii="Segoe UI" w:hAnsi="Segoe UI" w:cs="Segoe UI"/>
          <w:sz w:val="20"/>
          <w:szCs w:val="20"/>
        </w:rPr>
      </w:pPr>
      <w:r>
        <w:rPr>
          <w:rStyle w:val="11"/>
          <w:rFonts w:hint="eastAsia" w:ascii="仿宋" w:hAnsi="仿宋" w:eastAsia="仿宋" w:cs="Segoe UI"/>
          <w:color w:val="000000"/>
          <w:sz w:val="28"/>
          <w:szCs w:val="28"/>
        </w:rPr>
        <w:t>一、评选对象</w:t>
      </w:r>
    </w:p>
    <w:p>
      <w:pPr>
        <w:pStyle w:val="7"/>
        <w:ind w:firstLine="560" w:firstLineChars="200"/>
        <w:jc w:val="both"/>
        <w:rPr>
          <w:rFonts w:ascii="仿宋" w:hAnsi="仿宋" w:eastAsia="仿宋" w:cs="Segoe UI"/>
          <w:color w:val="000000"/>
          <w:sz w:val="28"/>
          <w:szCs w:val="28"/>
        </w:rPr>
      </w:pPr>
      <w:r>
        <w:rPr>
          <w:rFonts w:hint="eastAsia" w:ascii="仿宋" w:hAnsi="仿宋" w:eastAsia="仿宋" w:cs="Segoe UI"/>
          <w:color w:val="000000"/>
          <w:sz w:val="28"/>
          <w:szCs w:val="28"/>
        </w:rPr>
        <w:t>优秀毕业生分为上海市优秀毕业生和华东师范大学优秀毕业生（以下简称校优秀毕业生）。参评对象为我校全日制本科生、全日制研究生及非全日制研究生毕业生（含春季毕业生）。其中，上海市优秀毕业生应为列入普通高校国家统一招生计划的学生。</w:t>
      </w:r>
    </w:p>
    <w:p>
      <w:pPr>
        <w:pStyle w:val="7"/>
        <w:rPr>
          <w:rFonts w:ascii="仿宋" w:hAnsi="仿宋" w:eastAsia="仿宋" w:cs="Segoe UI"/>
          <w:b/>
          <w:bCs/>
          <w:color w:val="000000"/>
          <w:sz w:val="28"/>
          <w:szCs w:val="28"/>
        </w:rPr>
      </w:pPr>
      <w:r>
        <w:rPr>
          <w:rFonts w:hint="eastAsia" w:ascii="仿宋" w:hAnsi="仿宋" w:eastAsia="仿宋" w:cs="Segoe UI"/>
          <w:b/>
          <w:bCs/>
          <w:color w:val="000000"/>
          <w:sz w:val="28"/>
          <w:szCs w:val="28"/>
        </w:rPr>
        <w:t>二、评选要求</w:t>
      </w:r>
    </w:p>
    <w:p>
      <w:pPr>
        <w:pStyle w:val="7"/>
        <w:ind w:firstLine="560" w:firstLineChars="200"/>
        <w:jc w:val="both"/>
        <w:rPr>
          <w:rFonts w:ascii="仿宋" w:hAnsi="仿宋" w:eastAsia="仿宋" w:cs="Segoe UI"/>
          <w:color w:val="000000"/>
          <w:sz w:val="28"/>
          <w:szCs w:val="28"/>
        </w:rPr>
      </w:pPr>
      <w:r>
        <w:rPr>
          <w:rFonts w:hint="eastAsia" w:ascii="仿宋" w:hAnsi="仿宋" w:eastAsia="仿宋" w:cs="Segoe UI"/>
          <w:color w:val="000000"/>
          <w:sz w:val="28"/>
          <w:szCs w:val="28"/>
        </w:rPr>
        <w:t>1．上海市优秀毕业生应符合《上海市教育委员会关于做好2023年度上海市普通高等学校优秀毕业生评选工作的通知》（沪教委学〔</w:t>
      </w:r>
      <w:r>
        <w:rPr>
          <w:rFonts w:ascii="仿宋" w:hAnsi="仿宋" w:eastAsia="仿宋" w:cs="Segoe UI"/>
          <w:color w:val="000000"/>
          <w:sz w:val="28"/>
          <w:szCs w:val="28"/>
        </w:rPr>
        <w:t>202</w:t>
      </w:r>
      <w:r>
        <w:rPr>
          <w:rFonts w:hint="eastAsia" w:ascii="仿宋" w:hAnsi="仿宋" w:eastAsia="仿宋" w:cs="Segoe UI"/>
          <w:color w:val="000000"/>
          <w:sz w:val="28"/>
          <w:szCs w:val="28"/>
        </w:rPr>
        <w:t>3</w:t>
      </w:r>
      <w:r>
        <w:rPr>
          <w:rFonts w:ascii="仿宋" w:hAnsi="仿宋" w:eastAsia="仿宋" w:cs="Segoe UI"/>
          <w:color w:val="000000"/>
          <w:sz w:val="28"/>
          <w:szCs w:val="28"/>
        </w:rPr>
        <w:t>〕</w:t>
      </w:r>
      <w:r>
        <w:rPr>
          <w:rFonts w:hint="eastAsia" w:ascii="仿宋" w:hAnsi="仿宋" w:eastAsia="仿宋" w:cs="Segoe UI"/>
          <w:color w:val="000000"/>
          <w:sz w:val="28"/>
          <w:szCs w:val="28"/>
        </w:rPr>
        <w:t>1</w:t>
      </w:r>
      <w:r>
        <w:rPr>
          <w:rFonts w:ascii="仿宋" w:hAnsi="仿宋" w:eastAsia="仿宋" w:cs="Segoe UI"/>
          <w:color w:val="000000"/>
          <w:sz w:val="28"/>
          <w:szCs w:val="28"/>
        </w:rPr>
        <w:t>号</w:t>
      </w:r>
      <w:r>
        <w:rPr>
          <w:rFonts w:hint="eastAsia" w:ascii="仿宋" w:hAnsi="仿宋" w:eastAsia="仿宋" w:cs="Segoe UI"/>
          <w:color w:val="000000"/>
          <w:sz w:val="28"/>
          <w:szCs w:val="28"/>
        </w:rPr>
        <w:t>）、《华东师范大学优秀毕业生评选办法》（华师学〔</w:t>
      </w:r>
      <w:r>
        <w:rPr>
          <w:rFonts w:ascii="仿宋" w:hAnsi="仿宋" w:eastAsia="仿宋" w:cs="Segoe UI"/>
          <w:color w:val="000000"/>
          <w:sz w:val="28"/>
          <w:szCs w:val="28"/>
        </w:rPr>
        <w:t>202</w:t>
      </w:r>
      <w:r>
        <w:rPr>
          <w:rFonts w:hint="eastAsia" w:ascii="仿宋" w:hAnsi="仿宋" w:eastAsia="仿宋" w:cs="Segoe UI"/>
          <w:color w:val="000000"/>
          <w:sz w:val="28"/>
          <w:szCs w:val="28"/>
        </w:rPr>
        <w:t>1</w:t>
      </w:r>
      <w:r>
        <w:rPr>
          <w:rFonts w:ascii="仿宋" w:hAnsi="仿宋" w:eastAsia="仿宋" w:cs="Segoe UI"/>
          <w:color w:val="000000"/>
          <w:sz w:val="28"/>
          <w:szCs w:val="28"/>
        </w:rPr>
        <w:t>〕</w:t>
      </w:r>
      <w:r>
        <w:rPr>
          <w:rFonts w:hint="eastAsia" w:ascii="仿宋" w:hAnsi="仿宋" w:eastAsia="仿宋" w:cs="Segoe UI"/>
          <w:color w:val="000000"/>
          <w:sz w:val="28"/>
          <w:szCs w:val="28"/>
        </w:rPr>
        <w:t>26</w:t>
      </w:r>
      <w:r>
        <w:rPr>
          <w:rFonts w:ascii="仿宋" w:hAnsi="仿宋" w:eastAsia="仿宋" w:cs="Segoe UI"/>
          <w:color w:val="000000"/>
          <w:sz w:val="28"/>
          <w:szCs w:val="28"/>
        </w:rPr>
        <w:t>号</w:t>
      </w:r>
      <w:r>
        <w:rPr>
          <w:rFonts w:hint="eastAsia" w:ascii="仿宋" w:hAnsi="仿宋" w:eastAsia="仿宋" w:cs="Segoe UI"/>
          <w:color w:val="000000"/>
          <w:sz w:val="28"/>
          <w:szCs w:val="28"/>
        </w:rPr>
        <w:t>）文件中的相关要求。</w:t>
      </w:r>
    </w:p>
    <w:p>
      <w:pPr>
        <w:pStyle w:val="7"/>
        <w:ind w:firstLine="560" w:firstLineChars="200"/>
        <w:rPr>
          <w:rFonts w:ascii="仿宋" w:hAnsi="仿宋" w:eastAsia="仿宋" w:cs="Segoe UI"/>
          <w:color w:val="000000"/>
          <w:sz w:val="28"/>
          <w:szCs w:val="28"/>
        </w:rPr>
      </w:pPr>
      <w:r>
        <w:rPr>
          <w:rFonts w:hint="eastAsia" w:ascii="仿宋" w:hAnsi="仿宋" w:eastAsia="仿宋" w:cs="Segoe UI"/>
          <w:color w:val="000000"/>
          <w:sz w:val="28"/>
          <w:szCs w:val="28"/>
        </w:rPr>
        <w:t>2．校优秀毕业生应符合《华东师范大学优秀毕业生评选办法》（华师学〔</w:t>
      </w:r>
      <w:r>
        <w:rPr>
          <w:rFonts w:ascii="仿宋" w:hAnsi="仿宋" w:eastAsia="仿宋" w:cs="Segoe UI"/>
          <w:color w:val="000000"/>
          <w:sz w:val="28"/>
          <w:szCs w:val="28"/>
        </w:rPr>
        <w:t>202</w:t>
      </w:r>
      <w:r>
        <w:rPr>
          <w:rFonts w:hint="eastAsia" w:ascii="仿宋" w:hAnsi="仿宋" w:eastAsia="仿宋" w:cs="Segoe UI"/>
          <w:color w:val="000000"/>
          <w:sz w:val="28"/>
          <w:szCs w:val="28"/>
        </w:rPr>
        <w:t>1</w:t>
      </w:r>
      <w:r>
        <w:rPr>
          <w:rFonts w:ascii="仿宋" w:hAnsi="仿宋" w:eastAsia="仿宋" w:cs="Segoe UI"/>
          <w:color w:val="000000"/>
          <w:sz w:val="28"/>
          <w:szCs w:val="28"/>
        </w:rPr>
        <w:t>〕</w:t>
      </w:r>
      <w:r>
        <w:rPr>
          <w:rFonts w:hint="eastAsia" w:ascii="仿宋" w:hAnsi="仿宋" w:eastAsia="仿宋" w:cs="Segoe UI"/>
          <w:color w:val="000000"/>
          <w:sz w:val="28"/>
          <w:szCs w:val="28"/>
        </w:rPr>
        <w:t>26</w:t>
      </w:r>
      <w:r>
        <w:rPr>
          <w:rFonts w:ascii="仿宋" w:hAnsi="仿宋" w:eastAsia="仿宋" w:cs="Segoe UI"/>
          <w:color w:val="000000"/>
          <w:sz w:val="28"/>
          <w:szCs w:val="28"/>
        </w:rPr>
        <w:t>号</w:t>
      </w:r>
      <w:r>
        <w:rPr>
          <w:rFonts w:hint="eastAsia" w:ascii="仿宋" w:hAnsi="仿宋" w:eastAsia="仿宋" w:cs="Segoe UI"/>
          <w:color w:val="000000"/>
          <w:sz w:val="28"/>
          <w:szCs w:val="28"/>
        </w:rPr>
        <w:t>）文件中的相关要求。</w:t>
      </w:r>
    </w:p>
    <w:p>
      <w:pPr>
        <w:pStyle w:val="7"/>
        <w:ind w:firstLine="560" w:firstLineChars="200"/>
        <w:rPr>
          <w:rFonts w:ascii="仿宋" w:hAnsi="仿宋" w:eastAsia="仿宋" w:cs="Segoe UI"/>
          <w:color w:val="000000"/>
          <w:sz w:val="28"/>
          <w:szCs w:val="28"/>
        </w:rPr>
      </w:pPr>
      <w:r>
        <w:rPr>
          <w:rFonts w:hint="eastAsia" w:ascii="仿宋" w:hAnsi="仿宋" w:eastAsia="仿宋" w:cs="Segoe UI"/>
          <w:color w:val="000000"/>
          <w:sz w:val="28"/>
          <w:szCs w:val="28"/>
        </w:rPr>
        <w:t>3．非全日制研究生应参照全日制研究生评选标准，由各培养单位根据本单位及学生的实际情况制定评选细则。推荐学生原则上应符合以下条件之一：</w:t>
      </w:r>
    </w:p>
    <w:p>
      <w:pPr>
        <w:pStyle w:val="7"/>
        <w:spacing w:before="120" w:after="0"/>
        <w:ind w:left="420" w:leftChars="200"/>
        <w:rPr>
          <w:rFonts w:ascii="仿宋" w:hAnsi="仿宋" w:eastAsia="仿宋" w:cs="Segoe UI"/>
          <w:color w:val="000000"/>
          <w:sz w:val="28"/>
          <w:szCs w:val="28"/>
        </w:rPr>
      </w:pPr>
      <w:r>
        <w:rPr>
          <w:rFonts w:hint="eastAsia" w:ascii="仿宋" w:hAnsi="仿宋" w:eastAsia="仿宋" w:cs="Segoe UI"/>
          <w:color w:val="000000"/>
          <w:sz w:val="28"/>
          <w:szCs w:val="28"/>
        </w:rPr>
        <w:t>（1）在学期间学习成绩优秀；</w:t>
      </w:r>
    </w:p>
    <w:p>
      <w:pPr>
        <w:pStyle w:val="7"/>
        <w:spacing w:before="120" w:after="0"/>
        <w:ind w:left="420" w:leftChars="200"/>
        <w:rPr>
          <w:rFonts w:ascii="仿宋" w:hAnsi="仿宋" w:eastAsia="仿宋" w:cs="Segoe UI"/>
          <w:color w:val="000000"/>
          <w:sz w:val="28"/>
          <w:szCs w:val="28"/>
        </w:rPr>
      </w:pPr>
      <w:r>
        <w:rPr>
          <w:rFonts w:hint="eastAsia" w:ascii="仿宋" w:hAnsi="仿宋" w:eastAsia="仿宋" w:cs="Segoe UI"/>
          <w:color w:val="000000"/>
          <w:sz w:val="28"/>
          <w:szCs w:val="28"/>
        </w:rPr>
        <w:t>（2）在学期间有公益志愿服务经历；</w:t>
      </w:r>
    </w:p>
    <w:p>
      <w:pPr>
        <w:pStyle w:val="7"/>
        <w:spacing w:before="120" w:after="0"/>
        <w:ind w:left="420" w:leftChars="200"/>
        <w:rPr>
          <w:rFonts w:ascii="仿宋" w:hAnsi="仿宋" w:eastAsia="仿宋" w:cs="Segoe UI"/>
          <w:color w:val="000000"/>
          <w:sz w:val="28"/>
          <w:szCs w:val="28"/>
        </w:rPr>
      </w:pPr>
      <w:r>
        <w:rPr>
          <w:rFonts w:hint="eastAsia" w:ascii="仿宋" w:hAnsi="仿宋" w:eastAsia="仿宋" w:cs="Segoe UI"/>
          <w:color w:val="000000"/>
          <w:sz w:val="28"/>
          <w:szCs w:val="28"/>
        </w:rPr>
        <w:t>（3）在学期间曾担任学生干部；</w:t>
      </w:r>
    </w:p>
    <w:p>
      <w:pPr>
        <w:pStyle w:val="7"/>
        <w:spacing w:before="120" w:after="0"/>
        <w:ind w:left="420" w:leftChars="200"/>
        <w:rPr>
          <w:rFonts w:ascii="仿宋" w:hAnsi="仿宋" w:eastAsia="仿宋" w:cs="Segoe UI"/>
          <w:color w:val="000000"/>
          <w:sz w:val="28"/>
          <w:szCs w:val="28"/>
        </w:rPr>
      </w:pPr>
      <w:r>
        <w:rPr>
          <w:rFonts w:hint="eastAsia" w:ascii="仿宋" w:hAnsi="仿宋" w:eastAsia="仿宋" w:cs="Segoe UI"/>
          <w:color w:val="000000"/>
          <w:sz w:val="28"/>
          <w:szCs w:val="28"/>
        </w:rPr>
        <w:t>（4）在学业相关的实践领域获得过相关表彰等；</w:t>
      </w:r>
    </w:p>
    <w:p>
      <w:pPr>
        <w:pStyle w:val="7"/>
        <w:spacing w:before="120" w:after="0"/>
        <w:ind w:left="420" w:leftChars="200"/>
        <w:rPr>
          <w:rFonts w:ascii="仿宋" w:hAnsi="仿宋" w:eastAsia="仿宋" w:cs="Segoe UI"/>
          <w:color w:val="000000"/>
          <w:sz w:val="28"/>
          <w:szCs w:val="28"/>
        </w:rPr>
      </w:pPr>
      <w:r>
        <w:rPr>
          <w:rFonts w:hint="eastAsia" w:ascii="仿宋" w:hAnsi="仿宋" w:eastAsia="仿宋" w:cs="Segoe UI"/>
          <w:color w:val="000000"/>
          <w:sz w:val="28"/>
          <w:szCs w:val="28"/>
        </w:rPr>
        <w:t>（5）培养单位优秀毕业生评审委员会认为符合优秀毕业推荐资格的其他条件。</w:t>
      </w:r>
    </w:p>
    <w:p>
      <w:pPr>
        <w:pStyle w:val="7"/>
        <w:rPr>
          <w:rFonts w:ascii="Segoe UI" w:hAnsi="Segoe UI" w:eastAsia="仿宋" w:cs="Segoe UI"/>
          <w:sz w:val="20"/>
          <w:szCs w:val="20"/>
        </w:rPr>
      </w:pPr>
      <w:r>
        <w:rPr>
          <w:rStyle w:val="11"/>
          <w:rFonts w:hint="eastAsia" w:ascii="仿宋" w:hAnsi="仿宋" w:eastAsia="仿宋" w:cs="Segoe UI"/>
          <w:color w:val="000000"/>
          <w:sz w:val="28"/>
          <w:szCs w:val="28"/>
        </w:rPr>
        <w:t>三、评选人数</w:t>
      </w:r>
    </w:p>
    <w:p>
      <w:pPr>
        <w:pStyle w:val="7"/>
        <w:ind w:firstLine="560" w:firstLineChars="200"/>
        <w:jc w:val="both"/>
        <w:rPr>
          <w:rFonts w:ascii="Segoe UI" w:hAnsi="Segoe UI" w:eastAsia="仿宋" w:cs="Segoe UI"/>
          <w:sz w:val="20"/>
          <w:szCs w:val="20"/>
          <w:highlight w:val="yellow"/>
        </w:rPr>
      </w:pPr>
      <w:r>
        <w:rPr>
          <w:rFonts w:hint="eastAsia" w:ascii="仿宋" w:hAnsi="仿宋" w:eastAsia="仿宋" w:cs="Segoe UI"/>
          <w:color w:val="000000"/>
          <w:sz w:val="28"/>
          <w:szCs w:val="28"/>
        </w:rPr>
        <w:t>学生资助管理中心根据各单位的预毕业人数将本年度评选名额下达给各单位，具体名额以邮件通知为准。院系也可登录学生工作部网站后台查看（“奖助列表”</w:t>
      </w:r>
      <w:r>
        <w:rPr>
          <w:rFonts w:ascii="Arial" w:hAnsi="Arial" w:eastAsia="仿宋" w:cs="Arial"/>
          <w:color w:val="000000"/>
          <w:sz w:val="28"/>
          <w:szCs w:val="28"/>
        </w:rPr>
        <w:t>→</w:t>
      </w:r>
      <w:r>
        <w:rPr>
          <w:rFonts w:hint="eastAsia" w:ascii="仿宋" w:hAnsi="仿宋" w:eastAsia="仿宋" w:cs="Segoe UI"/>
          <w:color w:val="000000"/>
          <w:sz w:val="28"/>
          <w:szCs w:val="28"/>
        </w:rPr>
        <w:t>“总名额”）。其中，研究生名额为本单位全日制和非全日制研究生合计名额，名额一般互不通用。</w:t>
      </w:r>
    </w:p>
    <w:p>
      <w:pPr>
        <w:pStyle w:val="7"/>
        <w:rPr>
          <w:rFonts w:ascii="Segoe UI" w:hAnsi="Segoe UI" w:eastAsia="仿宋" w:cs="Segoe UI"/>
          <w:sz w:val="20"/>
          <w:szCs w:val="20"/>
        </w:rPr>
      </w:pPr>
      <w:r>
        <w:rPr>
          <w:rStyle w:val="11"/>
          <w:rFonts w:hint="eastAsia" w:ascii="仿宋" w:hAnsi="仿宋" w:eastAsia="仿宋" w:cs="Segoe UI"/>
          <w:color w:val="000000"/>
          <w:sz w:val="28"/>
          <w:szCs w:val="28"/>
        </w:rPr>
        <w:t>四、评选程序</w:t>
      </w:r>
    </w:p>
    <w:p>
      <w:pPr>
        <w:pStyle w:val="7"/>
        <w:ind w:firstLine="406"/>
        <w:jc w:val="both"/>
        <w:rPr>
          <w:rFonts w:ascii="Segoe UI" w:hAnsi="Segoe UI" w:cs="Segoe UI"/>
          <w:sz w:val="20"/>
          <w:szCs w:val="20"/>
        </w:rPr>
      </w:pPr>
      <w:r>
        <w:rPr>
          <w:rFonts w:hint="eastAsia" w:ascii="仿宋" w:hAnsi="仿宋" w:eastAsia="仿宋" w:cs="Segoe UI"/>
          <w:color w:val="000000"/>
          <w:sz w:val="28"/>
          <w:szCs w:val="28"/>
        </w:rPr>
        <w:t>（一）各实体单位根据《华东师范大学优秀毕业生评选办法》（华师学〔</w:t>
      </w:r>
      <w:r>
        <w:rPr>
          <w:rFonts w:ascii="仿宋" w:hAnsi="仿宋" w:eastAsia="仿宋" w:cs="Segoe UI"/>
          <w:color w:val="000000"/>
          <w:sz w:val="28"/>
          <w:szCs w:val="28"/>
        </w:rPr>
        <w:t>202</w:t>
      </w:r>
      <w:r>
        <w:rPr>
          <w:rFonts w:hint="eastAsia" w:ascii="仿宋" w:hAnsi="仿宋" w:eastAsia="仿宋" w:cs="Segoe UI"/>
          <w:color w:val="000000"/>
          <w:sz w:val="28"/>
          <w:szCs w:val="28"/>
        </w:rPr>
        <w:t>1</w:t>
      </w:r>
      <w:r>
        <w:rPr>
          <w:rFonts w:ascii="仿宋" w:hAnsi="仿宋" w:eastAsia="仿宋" w:cs="Segoe UI"/>
          <w:color w:val="000000"/>
          <w:sz w:val="28"/>
          <w:szCs w:val="28"/>
        </w:rPr>
        <w:t>〕</w:t>
      </w:r>
      <w:r>
        <w:rPr>
          <w:rFonts w:hint="eastAsia" w:ascii="仿宋" w:hAnsi="仿宋" w:eastAsia="仿宋" w:cs="Segoe UI"/>
          <w:color w:val="000000"/>
          <w:sz w:val="28"/>
          <w:szCs w:val="28"/>
        </w:rPr>
        <w:t>26</w:t>
      </w:r>
      <w:r>
        <w:rPr>
          <w:rFonts w:ascii="仿宋" w:hAnsi="仿宋" w:eastAsia="仿宋" w:cs="Segoe UI"/>
          <w:color w:val="000000"/>
          <w:sz w:val="28"/>
          <w:szCs w:val="28"/>
        </w:rPr>
        <w:t>号</w:t>
      </w:r>
      <w:r>
        <w:rPr>
          <w:rFonts w:hint="eastAsia" w:ascii="仿宋" w:hAnsi="仿宋" w:eastAsia="仿宋" w:cs="Segoe UI"/>
          <w:color w:val="000000"/>
          <w:sz w:val="28"/>
          <w:szCs w:val="28"/>
        </w:rPr>
        <w:t>）的要求，成立优秀毕业生评审委员会，制定本单位当年的评选细则，发布本单位评选通知。评审细则应在本单位内公示3天无异议，或由评审委员会对异议进行审议决定后方可执行。公示通过后，应将评选细则发至学生（研究生）工作处学生资助管理中心备案,邮箱：dlwang@admin.ecnu.edu.cn（本科生） fgao@mail.ecnu.edu.cn（研究生）。</w:t>
      </w:r>
    </w:p>
    <w:p>
      <w:pPr>
        <w:pStyle w:val="7"/>
        <w:ind w:firstLine="560" w:firstLineChars="200"/>
        <w:rPr>
          <w:rFonts w:ascii="Segoe UI" w:hAnsi="Segoe UI" w:cs="Segoe UI"/>
          <w:sz w:val="20"/>
          <w:szCs w:val="20"/>
        </w:rPr>
      </w:pPr>
      <w:r>
        <w:rPr>
          <w:rFonts w:hint="eastAsia" w:ascii="仿宋" w:hAnsi="仿宋" w:eastAsia="仿宋" w:cs="Segoe UI"/>
          <w:color w:val="000000"/>
          <w:sz w:val="28"/>
          <w:szCs w:val="28"/>
        </w:rPr>
        <w:t>（二）学生自主申请</w:t>
      </w:r>
      <w:r>
        <w:rPr>
          <w:rFonts w:hint="eastAsia" w:ascii="仿宋" w:hAnsi="仿宋" w:eastAsia="仿宋" w:cs="Segoe UI"/>
          <w:b/>
          <w:bCs/>
          <w:color w:val="000000"/>
          <w:sz w:val="28"/>
          <w:szCs w:val="28"/>
        </w:rPr>
        <w:t>（3月17日截止）</w:t>
      </w:r>
    </w:p>
    <w:p>
      <w:pPr>
        <w:pStyle w:val="7"/>
        <w:ind w:firstLine="560" w:firstLineChars="200"/>
        <w:jc w:val="both"/>
        <w:rPr>
          <w:rFonts w:ascii="仿宋" w:hAnsi="仿宋" w:eastAsia="仿宋" w:cs="Segoe UI"/>
          <w:color w:val="000000"/>
          <w:sz w:val="28"/>
          <w:szCs w:val="28"/>
        </w:rPr>
      </w:pPr>
      <w:r>
        <w:rPr>
          <w:rFonts w:hint="eastAsia" w:ascii="仿宋" w:hAnsi="仿宋" w:eastAsia="仿宋" w:cs="Segoe UI"/>
          <w:color w:val="000000"/>
          <w:sz w:val="28"/>
          <w:szCs w:val="28"/>
        </w:rPr>
        <w:t>符合《华东师范大学优秀毕业生评选办法》（华师学〔</w:t>
      </w:r>
      <w:r>
        <w:rPr>
          <w:rFonts w:ascii="仿宋" w:hAnsi="仿宋" w:eastAsia="仿宋" w:cs="Segoe UI"/>
          <w:color w:val="000000"/>
          <w:sz w:val="28"/>
          <w:szCs w:val="28"/>
        </w:rPr>
        <w:t>202</w:t>
      </w:r>
      <w:r>
        <w:rPr>
          <w:rFonts w:hint="eastAsia" w:ascii="仿宋" w:hAnsi="仿宋" w:eastAsia="仿宋" w:cs="Segoe UI"/>
          <w:color w:val="000000"/>
          <w:sz w:val="28"/>
          <w:szCs w:val="28"/>
        </w:rPr>
        <w:t>1</w:t>
      </w:r>
      <w:r>
        <w:rPr>
          <w:rFonts w:ascii="仿宋" w:hAnsi="仿宋" w:eastAsia="仿宋" w:cs="Segoe UI"/>
          <w:color w:val="000000"/>
          <w:sz w:val="28"/>
          <w:szCs w:val="28"/>
        </w:rPr>
        <w:t>〕</w:t>
      </w:r>
      <w:r>
        <w:rPr>
          <w:rFonts w:hint="eastAsia" w:ascii="仿宋" w:hAnsi="仿宋" w:eastAsia="仿宋" w:cs="Segoe UI"/>
          <w:color w:val="000000"/>
          <w:sz w:val="28"/>
          <w:szCs w:val="28"/>
        </w:rPr>
        <w:t>26</w:t>
      </w:r>
      <w:r>
        <w:rPr>
          <w:rFonts w:ascii="仿宋" w:hAnsi="仿宋" w:eastAsia="仿宋" w:cs="Segoe UI"/>
          <w:color w:val="000000"/>
          <w:sz w:val="28"/>
          <w:szCs w:val="28"/>
        </w:rPr>
        <w:t>号</w:t>
      </w:r>
      <w:r>
        <w:rPr>
          <w:rFonts w:hint="eastAsia" w:ascii="仿宋" w:hAnsi="仿宋" w:eastAsia="仿宋" w:cs="Segoe UI"/>
          <w:color w:val="000000"/>
          <w:sz w:val="28"/>
          <w:szCs w:val="28"/>
        </w:rPr>
        <w:t>）规定的毕业生均有资格申请。拟申请的学生登录学生信息管理系统（http://www.xsgzb.ecnu.edu.cn/）进行申请。点击左上角“首页”菜单弹出的“学生信息系统”，登陆后在“奖助浏览”中，若申请上海市优秀毕业生，点击“前往申请”按钮即可（无表格，根据上海市教委相关要求，本年度获得学校推荐的上海市优秀毕业生需登录上海市学生事务中心官网上海市优秀毕业生系统填写表格进行申报，具体填写申报方法待学校收到相关要求后另行通知。）；若申请校优秀毕业生，则点击“前往申请”按钮填写相应表格信息之后保存提交。操作方法详见附件：学生操作手册。</w:t>
      </w:r>
    </w:p>
    <w:p>
      <w:pPr>
        <w:pStyle w:val="7"/>
        <w:ind w:firstLine="560" w:firstLineChars="200"/>
        <w:jc w:val="both"/>
        <w:rPr>
          <w:rFonts w:ascii="仿宋" w:hAnsi="仿宋" w:eastAsia="仿宋" w:cs="Segoe UI"/>
          <w:color w:val="000000"/>
          <w:sz w:val="28"/>
          <w:szCs w:val="28"/>
        </w:rPr>
      </w:pPr>
      <w:r>
        <w:rPr>
          <w:rFonts w:hint="eastAsia" w:ascii="仿宋" w:hAnsi="仿宋" w:eastAsia="仿宋" w:cs="Segoe UI"/>
          <w:color w:val="000000"/>
          <w:sz w:val="28"/>
          <w:szCs w:val="28"/>
        </w:rPr>
        <w:t>如遇技术问题，请及时与学生资助管理中心联系。同时学生如申请，申请后务必主动告知辅导员老师，以便核对。</w:t>
      </w:r>
    </w:p>
    <w:p>
      <w:pPr>
        <w:pStyle w:val="7"/>
        <w:numPr>
          <w:ilvl w:val="0"/>
          <w:numId w:val="1"/>
        </w:numPr>
        <w:jc w:val="both"/>
        <w:rPr>
          <w:rFonts w:ascii="仿宋" w:hAnsi="仿宋" w:eastAsia="仿宋" w:cs="Segoe UI"/>
          <w:b/>
          <w:bCs/>
          <w:color w:val="000000"/>
          <w:sz w:val="28"/>
          <w:szCs w:val="28"/>
        </w:rPr>
      </w:pPr>
      <w:r>
        <w:rPr>
          <w:rFonts w:hint="eastAsia" w:ascii="仿宋" w:hAnsi="仿宋" w:eastAsia="仿宋" w:cs="Segoe UI"/>
          <w:color w:val="000000"/>
          <w:sz w:val="28"/>
          <w:szCs w:val="28"/>
        </w:rPr>
        <w:t>院系评审</w:t>
      </w:r>
      <w:r>
        <w:rPr>
          <w:rFonts w:hint="eastAsia" w:ascii="仿宋" w:hAnsi="仿宋" w:eastAsia="仿宋" w:cs="Segoe UI"/>
          <w:b/>
          <w:bCs/>
          <w:color w:val="000000"/>
          <w:sz w:val="28"/>
          <w:szCs w:val="28"/>
        </w:rPr>
        <w:t>（4月7日截止）</w:t>
      </w:r>
    </w:p>
    <w:p>
      <w:pPr>
        <w:pStyle w:val="7"/>
        <w:ind w:firstLine="560" w:firstLineChars="200"/>
        <w:jc w:val="both"/>
        <w:rPr>
          <w:rFonts w:ascii="Segoe UI" w:hAnsi="Segoe UI" w:cs="Segoe UI"/>
          <w:sz w:val="20"/>
          <w:szCs w:val="20"/>
        </w:rPr>
      </w:pPr>
      <w:r>
        <w:rPr>
          <w:rFonts w:hint="eastAsia" w:ascii="仿宋" w:hAnsi="仿宋" w:eastAsia="仿宋" w:cs="仿宋"/>
          <w:color w:val="000000"/>
          <w:sz w:val="28"/>
          <w:szCs w:val="28"/>
        </w:rPr>
        <w:t>1</w:t>
      </w:r>
      <w:r>
        <w:rPr>
          <w:rFonts w:hint="eastAsia" w:ascii="仿宋" w:hAnsi="仿宋" w:eastAsia="仿宋" w:cs="Segoe UI"/>
          <w:color w:val="000000"/>
          <w:sz w:val="28"/>
          <w:szCs w:val="28"/>
        </w:rPr>
        <w:t>.院系按照学校下达的名额分别评选出本院系的上海市优秀毕业生候选人和校优秀毕业生候选人。</w:t>
      </w:r>
    </w:p>
    <w:p>
      <w:pPr>
        <w:pStyle w:val="7"/>
        <w:ind w:firstLine="560" w:firstLineChars="200"/>
        <w:jc w:val="both"/>
        <w:rPr>
          <w:rFonts w:ascii="仿宋" w:hAnsi="仿宋" w:eastAsia="仿宋" w:cs="Segoe UI"/>
          <w:color w:val="000000"/>
          <w:sz w:val="28"/>
          <w:szCs w:val="28"/>
        </w:rPr>
      </w:pPr>
      <w:r>
        <w:rPr>
          <w:rFonts w:hint="eastAsia" w:ascii="仿宋" w:hAnsi="仿宋" w:eastAsia="仿宋" w:cs="Segoe UI"/>
          <w:color w:val="000000"/>
          <w:sz w:val="28"/>
          <w:szCs w:val="28"/>
        </w:rPr>
        <w:t>2.校团委、党委学生（研究生）工作部推荐的校优秀毕业生不占院系名额，涉及到的院系另行通知。校团委、党委学生（研究生）工作部推荐的校优秀毕业生必须符合申请条件并通过院系组织的民主评议及院系评审委员会的审核。</w:t>
      </w:r>
    </w:p>
    <w:p>
      <w:pPr>
        <w:pStyle w:val="7"/>
        <w:ind w:firstLine="560" w:firstLineChars="200"/>
        <w:jc w:val="both"/>
        <w:rPr>
          <w:rFonts w:ascii="仿宋" w:hAnsi="仿宋" w:eastAsia="仿宋" w:cs="Segoe UI"/>
          <w:color w:val="000000"/>
          <w:sz w:val="28"/>
          <w:szCs w:val="28"/>
        </w:rPr>
      </w:pPr>
      <w:r>
        <w:rPr>
          <w:rFonts w:hint="eastAsia" w:ascii="仿宋" w:hAnsi="仿宋" w:eastAsia="仿宋" w:cs="Segoe UI"/>
          <w:color w:val="000000"/>
          <w:sz w:val="28"/>
          <w:szCs w:val="28"/>
        </w:rPr>
        <w:t>3.根据学校《关于进一步做好征集大学生参军入伍工作的若干意见》（华师武[2020]1号），在部队荣立三等功及以上的退役学生，院系</w:t>
      </w:r>
      <w:r>
        <w:rPr>
          <w:rFonts w:ascii="仿宋" w:hAnsi="仿宋" w:eastAsia="仿宋" w:cs="Segoe UI"/>
          <w:color w:val="000000"/>
          <w:sz w:val="28"/>
          <w:szCs w:val="28"/>
        </w:rPr>
        <w:t>评审时</w:t>
      </w:r>
      <w:r>
        <w:rPr>
          <w:rFonts w:hint="eastAsia" w:ascii="仿宋" w:hAnsi="仿宋" w:eastAsia="仿宋" w:cs="Segoe UI"/>
          <w:color w:val="000000"/>
          <w:sz w:val="28"/>
          <w:szCs w:val="28"/>
        </w:rPr>
        <w:t>可在推荐“上海市优秀毕业生”时予以优先考虑。退役学生未评上上海市优秀毕业生，但达到毕业条件和学位要求的，可直接推荐为校优秀毕业生，名额由学校单列，不占院系指标。各单位应在4月7日16:00前，将相关学生信息（见附件《</w:t>
      </w:r>
      <w:r>
        <w:rPr>
          <w:rFonts w:ascii="仿宋" w:hAnsi="仿宋" w:eastAsia="仿宋" w:cs="Segoe UI"/>
          <w:color w:val="000000"/>
          <w:sz w:val="28"/>
          <w:szCs w:val="28"/>
        </w:rPr>
        <w:t>202</w:t>
      </w:r>
      <w:r>
        <w:rPr>
          <w:rFonts w:hint="eastAsia" w:ascii="仿宋" w:hAnsi="仿宋" w:eastAsia="仿宋" w:cs="Segoe UI"/>
          <w:color w:val="000000"/>
          <w:sz w:val="28"/>
          <w:szCs w:val="28"/>
        </w:rPr>
        <w:t>3</w:t>
      </w:r>
      <w:r>
        <w:rPr>
          <w:rFonts w:ascii="仿宋" w:hAnsi="仿宋" w:eastAsia="仿宋" w:cs="Segoe UI"/>
          <w:color w:val="000000"/>
          <w:sz w:val="28"/>
          <w:szCs w:val="28"/>
        </w:rPr>
        <w:t>年推荐退役学生校优毕</w:t>
      </w:r>
      <w:r>
        <w:rPr>
          <w:rFonts w:hint="eastAsia" w:ascii="仿宋" w:hAnsi="仿宋" w:eastAsia="仿宋" w:cs="Segoe UI"/>
          <w:color w:val="000000"/>
          <w:sz w:val="28"/>
          <w:szCs w:val="28"/>
        </w:rPr>
        <w:t>汇总表》)邮件报送给学生资助管理中心。</w:t>
      </w:r>
    </w:p>
    <w:p>
      <w:pPr>
        <w:pStyle w:val="7"/>
        <w:ind w:firstLine="560" w:firstLineChars="200"/>
        <w:jc w:val="both"/>
        <w:rPr>
          <w:rFonts w:ascii="仿宋" w:hAnsi="仿宋" w:eastAsia="仿宋" w:cs="Segoe UI"/>
          <w:color w:val="000000"/>
          <w:sz w:val="28"/>
          <w:szCs w:val="28"/>
        </w:rPr>
      </w:pPr>
      <w:r>
        <w:rPr>
          <w:rFonts w:hint="eastAsia" w:ascii="仿宋" w:hAnsi="仿宋" w:eastAsia="仿宋" w:cs="Segoe UI"/>
          <w:color w:val="000000"/>
          <w:sz w:val="28"/>
          <w:szCs w:val="28"/>
        </w:rPr>
        <w:t>4.经院系优秀毕业生评审委员会审核通过的名单需院内公示三个工作日，无异议后院系于4月7日前在学生信息管理系统完成网上审批，操作方法详见附件：院系管理员操作手册。</w:t>
      </w:r>
    </w:p>
    <w:p>
      <w:pPr>
        <w:pStyle w:val="7"/>
        <w:ind w:firstLine="560" w:firstLineChars="200"/>
        <w:rPr>
          <w:rFonts w:ascii="仿宋" w:hAnsi="仿宋" w:eastAsia="仿宋" w:cs="Segoe UI"/>
          <w:color w:val="000000"/>
          <w:sz w:val="28"/>
          <w:szCs w:val="28"/>
        </w:rPr>
      </w:pPr>
      <w:r>
        <w:rPr>
          <w:rFonts w:hint="eastAsia" w:ascii="仿宋" w:hAnsi="仿宋" w:eastAsia="仿宋" w:cs="Segoe UI"/>
          <w:color w:val="000000"/>
          <w:sz w:val="28"/>
          <w:szCs w:val="28"/>
        </w:rPr>
        <w:t>5.院系审批后，校优秀毕业生候选人可在学生信息管理系统中自行打印《华东师范大学优秀毕业生登记表》并交院系汇总。表格应1张A4纸正反面打印。如系统打印中出现问题，可以联系学生资助管理中心。</w:t>
      </w:r>
    </w:p>
    <w:p>
      <w:pPr>
        <w:pStyle w:val="7"/>
        <w:ind w:firstLine="560" w:firstLineChars="200"/>
        <w:rPr>
          <w:rFonts w:ascii="Segoe UI" w:hAnsi="Segoe UI" w:cs="Segoe UI"/>
          <w:b/>
          <w:bCs/>
          <w:sz w:val="20"/>
          <w:szCs w:val="20"/>
        </w:rPr>
      </w:pPr>
      <w:r>
        <w:rPr>
          <w:rFonts w:hint="eastAsia" w:ascii="仿宋" w:hAnsi="仿宋" w:eastAsia="仿宋" w:cs="Segoe UI"/>
          <w:color w:val="000000"/>
          <w:sz w:val="28"/>
          <w:szCs w:val="28"/>
        </w:rPr>
        <w:t>（四）院系上交材料</w:t>
      </w:r>
      <w:bookmarkStart w:id="100" w:name="_GoBack"/>
      <w:r>
        <w:rPr>
          <w:rFonts w:hint="eastAsia" w:ascii="仿宋" w:hAnsi="仿宋" w:eastAsia="仿宋" w:cs="Segoe UI"/>
          <w:b/>
          <w:bCs/>
          <w:color w:val="000000"/>
          <w:sz w:val="28"/>
          <w:szCs w:val="28"/>
        </w:rPr>
        <w:t>（4月21日截止）</w:t>
      </w:r>
    </w:p>
    <w:bookmarkEnd w:id="100"/>
    <w:p>
      <w:pPr>
        <w:pStyle w:val="7"/>
        <w:ind w:firstLine="560" w:firstLineChars="200"/>
        <w:jc w:val="both"/>
        <w:rPr>
          <w:rFonts w:ascii="仿宋" w:hAnsi="仿宋" w:eastAsia="仿宋" w:cs="Segoe UI"/>
          <w:color w:val="000000"/>
          <w:sz w:val="28"/>
          <w:szCs w:val="28"/>
        </w:rPr>
      </w:pPr>
      <w:r>
        <w:rPr>
          <w:rFonts w:hint="eastAsia" w:ascii="仿宋" w:hAnsi="仿宋" w:eastAsia="仿宋" w:cs="Segoe UI"/>
          <w:color w:val="000000"/>
          <w:sz w:val="28"/>
          <w:szCs w:val="28"/>
        </w:rPr>
        <w:t>院系应在4月7日前，在学生信息管理系统完成审批，并将本单位获奖学生电子汇总信息表(见附件《</w:t>
      </w:r>
      <w:r>
        <w:rPr>
          <w:rFonts w:ascii="仿宋" w:hAnsi="仿宋" w:eastAsia="仿宋" w:cs="Segoe UI"/>
          <w:color w:val="000000"/>
          <w:sz w:val="28"/>
          <w:szCs w:val="28"/>
        </w:rPr>
        <w:t>202</w:t>
      </w:r>
      <w:r>
        <w:rPr>
          <w:rFonts w:hint="eastAsia" w:ascii="仿宋" w:hAnsi="仿宋" w:eastAsia="仿宋" w:cs="Segoe UI"/>
          <w:color w:val="000000"/>
          <w:sz w:val="28"/>
          <w:szCs w:val="28"/>
        </w:rPr>
        <w:t>3</w:t>
      </w:r>
      <w:r>
        <w:rPr>
          <w:rFonts w:ascii="仿宋" w:hAnsi="仿宋" w:eastAsia="仿宋" w:cs="Segoe UI"/>
          <w:color w:val="000000"/>
          <w:sz w:val="28"/>
          <w:szCs w:val="28"/>
        </w:rPr>
        <w:t>年上海市优秀毕业生院系推荐汇总表</w:t>
      </w:r>
      <w:r>
        <w:rPr>
          <w:rFonts w:hint="eastAsia" w:ascii="仿宋" w:hAnsi="仿宋" w:eastAsia="仿宋" w:cs="Segoe UI"/>
          <w:color w:val="000000"/>
          <w:sz w:val="28"/>
          <w:szCs w:val="28"/>
        </w:rPr>
        <w:t>》、《</w:t>
      </w:r>
      <w:r>
        <w:rPr>
          <w:rFonts w:ascii="仿宋" w:hAnsi="仿宋" w:eastAsia="仿宋" w:cs="Segoe UI"/>
          <w:color w:val="000000"/>
          <w:sz w:val="28"/>
          <w:szCs w:val="28"/>
        </w:rPr>
        <w:t>202</w:t>
      </w:r>
      <w:r>
        <w:rPr>
          <w:rFonts w:hint="eastAsia" w:ascii="仿宋" w:hAnsi="仿宋" w:eastAsia="仿宋" w:cs="Segoe UI"/>
          <w:color w:val="000000"/>
          <w:sz w:val="28"/>
          <w:szCs w:val="28"/>
        </w:rPr>
        <w:t>3</w:t>
      </w:r>
      <w:r>
        <w:rPr>
          <w:rFonts w:ascii="仿宋" w:hAnsi="仿宋" w:eastAsia="仿宋" w:cs="Segoe UI"/>
          <w:color w:val="000000"/>
          <w:sz w:val="28"/>
          <w:szCs w:val="28"/>
        </w:rPr>
        <w:t>年</w:t>
      </w:r>
      <w:r>
        <w:rPr>
          <w:rFonts w:hint="eastAsia" w:ascii="仿宋" w:hAnsi="仿宋" w:eastAsia="仿宋" w:cs="Segoe UI"/>
          <w:color w:val="000000"/>
          <w:sz w:val="28"/>
          <w:szCs w:val="28"/>
        </w:rPr>
        <w:t>校</w:t>
      </w:r>
      <w:r>
        <w:rPr>
          <w:rFonts w:ascii="仿宋" w:hAnsi="仿宋" w:eastAsia="仿宋" w:cs="Segoe UI"/>
          <w:color w:val="000000"/>
          <w:sz w:val="28"/>
          <w:szCs w:val="28"/>
        </w:rPr>
        <w:t>优秀毕业生院系推荐汇总表》</w:t>
      </w:r>
      <w:r>
        <w:rPr>
          <w:rFonts w:hint="eastAsia" w:ascii="仿宋" w:hAnsi="仿宋" w:eastAsia="仿宋" w:cs="Segoe UI"/>
          <w:color w:val="000000"/>
          <w:sz w:val="28"/>
          <w:szCs w:val="28"/>
        </w:rPr>
        <w:t>报送给学生资助管理中心；</w:t>
      </w:r>
    </w:p>
    <w:p>
      <w:pPr>
        <w:pStyle w:val="7"/>
        <w:ind w:firstLine="560" w:firstLineChars="200"/>
        <w:jc w:val="both"/>
        <w:rPr>
          <w:rFonts w:ascii="仿宋" w:hAnsi="仿宋" w:eastAsia="仿宋" w:cs="Segoe UI"/>
          <w:color w:val="000000"/>
          <w:sz w:val="28"/>
          <w:szCs w:val="28"/>
        </w:rPr>
      </w:pPr>
      <w:r>
        <w:rPr>
          <w:rFonts w:hint="eastAsia" w:ascii="仿宋" w:hAnsi="仿宋" w:eastAsia="仿宋" w:cs="Segoe UI"/>
          <w:color w:val="000000"/>
          <w:sz w:val="28"/>
          <w:szCs w:val="28"/>
        </w:rPr>
        <w:t>院系应于4月21日前将学生本人的申请表（A4纸正反打印，一式两份）盖章件，以实体学部、院、系、所为单位汇总至两校区学生资助管理中心。</w:t>
      </w:r>
    </w:p>
    <w:p>
      <w:pPr>
        <w:pStyle w:val="7"/>
        <w:ind w:firstLine="560" w:firstLineChars="200"/>
        <w:jc w:val="both"/>
        <w:rPr>
          <w:rFonts w:ascii="Segoe UI" w:hAnsi="Segoe UI" w:cs="Segoe UI"/>
          <w:sz w:val="20"/>
          <w:szCs w:val="20"/>
        </w:rPr>
      </w:pPr>
      <w:r>
        <w:rPr>
          <w:rFonts w:hint="eastAsia" w:ascii="仿宋" w:hAnsi="仿宋" w:eastAsia="仿宋" w:cs="Segoe UI"/>
          <w:color w:val="000000"/>
          <w:sz w:val="28"/>
          <w:szCs w:val="28"/>
        </w:rPr>
        <w:t>（五）学校复</w:t>
      </w:r>
      <w:r>
        <w:rPr>
          <w:rFonts w:hint="eastAsia" w:ascii="Calibri" w:hAnsi="Calibri" w:eastAsia="仿宋" w:cs="Calibri"/>
          <w:color w:val="000000"/>
          <w:sz w:val="28"/>
          <w:szCs w:val="28"/>
        </w:rPr>
        <w:t>核</w:t>
      </w:r>
      <w:r>
        <w:rPr>
          <w:rFonts w:hint="eastAsia" w:ascii="仿宋" w:hAnsi="仿宋" w:eastAsia="仿宋" w:cs="Segoe UI"/>
          <w:color w:val="000000"/>
          <w:sz w:val="28"/>
          <w:szCs w:val="28"/>
        </w:rPr>
        <w:t>及公示</w:t>
      </w:r>
    </w:p>
    <w:p>
      <w:pPr>
        <w:pStyle w:val="7"/>
        <w:ind w:firstLine="560" w:firstLineChars="200"/>
        <w:rPr>
          <w:rFonts w:ascii="Segoe UI" w:hAnsi="Segoe UI" w:cs="Segoe UI"/>
          <w:sz w:val="20"/>
          <w:szCs w:val="20"/>
        </w:rPr>
      </w:pPr>
      <w:r>
        <w:rPr>
          <w:rFonts w:hint="eastAsia" w:ascii="Calibri" w:hAnsi="Calibri" w:eastAsia="仿宋" w:cs="Calibri"/>
          <w:color w:val="000000"/>
          <w:sz w:val="28"/>
          <w:szCs w:val="28"/>
        </w:rPr>
        <w:t>学生（研究生）工作处学生资助管理中心对各实体单位上报的推荐名单进行复核，将复核通过的候选人进行为期七天的公示。</w:t>
      </w:r>
      <w:r>
        <w:rPr>
          <w:rFonts w:hint="eastAsia" w:ascii="仿宋" w:hAnsi="仿宋" w:eastAsia="仿宋" w:cs="Segoe UI"/>
          <w:color w:val="000000"/>
          <w:sz w:val="28"/>
          <w:szCs w:val="28"/>
        </w:rPr>
        <w:t xml:space="preserve">名单公示无异议后报分管校领导审批，其中上海市优秀毕业生候选人还需报上海市教育委员审批。经批准的候选人将获得相应的荣誉称号。若未能通过上海市教委批准的候选人，如符合校优秀毕业生条件者，自动转为校优秀毕业生。 </w:t>
      </w:r>
    </w:p>
    <w:p>
      <w:pPr>
        <w:pStyle w:val="7"/>
        <w:ind w:left="667"/>
        <w:rPr>
          <w:rFonts w:ascii="Segoe UI" w:hAnsi="Segoe UI" w:cs="Segoe UI"/>
          <w:sz w:val="20"/>
          <w:szCs w:val="20"/>
        </w:rPr>
      </w:pPr>
      <w:r>
        <w:rPr>
          <w:rFonts w:hint="eastAsia" w:ascii="仿宋" w:hAnsi="仿宋" w:eastAsia="仿宋" w:cs="Segoe UI"/>
          <w:color w:val="000000"/>
          <w:sz w:val="28"/>
          <w:szCs w:val="28"/>
        </w:rPr>
        <w:t>特此通知。</w:t>
      </w:r>
    </w:p>
    <w:p>
      <w:pPr>
        <w:pStyle w:val="7"/>
        <w:rPr>
          <w:rFonts w:ascii="仿宋" w:hAnsi="仿宋" w:eastAsia="仿宋" w:cs="Segoe UI"/>
          <w:color w:val="000000"/>
          <w:sz w:val="28"/>
          <w:szCs w:val="28"/>
        </w:rPr>
      </w:pPr>
      <w:r>
        <w:rPr>
          <w:rFonts w:hint="eastAsia" w:ascii="仿宋" w:hAnsi="仿宋" w:eastAsia="仿宋" w:cs="Segoe UI"/>
          <w:color w:val="000000"/>
          <w:sz w:val="28"/>
          <w:szCs w:val="28"/>
        </w:rPr>
        <w:t>联系人：</w:t>
      </w:r>
    </w:p>
    <w:p>
      <w:pPr>
        <w:pStyle w:val="7"/>
        <w:ind w:right="843"/>
        <w:rPr>
          <w:rFonts w:ascii="仿宋" w:hAnsi="仿宋" w:eastAsia="仿宋" w:cs="Segoe UI"/>
          <w:color w:val="000000"/>
          <w:sz w:val="28"/>
          <w:szCs w:val="28"/>
        </w:rPr>
      </w:pPr>
      <w:r>
        <w:rPr>
          <w:rFonts w:hint="eastAsia" w:ascii="仿宋" w:hAnsi="仿宋" w:eastAsia="仿宋" w:cs="Segoe UI"/>
          <w:color w:val="000000"/>
          <w:sz w:val="28"/>
          <w:szCs w:val="28"/>
        </w:rPr>
        <w:t>本科生： 王东亮  dlwang@admin.ecnu.edu.cn</w:t>
      </w:r>
    </w:p>
    <w:p>
      <w:pPr>
        <w:pStyle w:val="7"/>
        <w:ind w:right="843"/>
        <w:jc w:val="both"/>
        <w:rPr>
          <w:rFonts w:ascii="仿宋" w:hAnsi="仿宋" w:eastAsia="仿宋" w:cs="Segoe UI"/>
          <w:color w:val="000000"/>
          <w:sz w:val="28"/>
          <w:szCs w:val="28"/>
        </w:rPr>
      </w:pPr>
      <w:r>
        <w:rPr>
          <w:rFonts w:hint="eastAsia" w:ascii="仿宋" w:hAnsi="仿宋" w:eastAsia="仿宋" w:cs="Segoe UI"/>
          <w:color w:val="000000"/>
          <w:sz w:val="28"/>
          <w:szCs w:val="28"/>
        </w:rPr>
        <w:t xml:space="preserve">研究生： 高  帆  </w:t>
      </w:r>
      <w:r>
        <w:fldChar w:fldCharType="begin"/>
      </w:r>
      <w:r>
        <w:instrText xml:space="preserve"> HYPERLINK "mailto:fgao@mail.ecnu.edu.cn" </w:instrText>
      </w:r>
      <w:r>
        <w:fldChar w:fldCharType="separate"/>
      </w:r>
      <w:r>
        <w:rPr>
          <w:rStyle w:val="13"/>
          <w:rFonts w:hint="eastAsia" w:ascii="仿宋" w:hAnsi="仿宋" w:eastAsia="仿宋" w:cs="Segoe UI"/>
          <w:color w:val="000000"/>
          <w:sz w:val="28"/>
          <w:szCs w:val="28"/>
          <w:u w:val="none"/>
        </w:rPr>
        <w:t>fgao@mail.ecnu.edu.cn</w:t>
      </w:r>
      <w:r>
        <w:rPr>
          <w:rStyle w:val="13"/>
          <w:rFonts w:hint="eastAsia" w:ascii="仿宋" w:hAnsi="仿宋" w:eastAsia="仿宋" w:cs="Segoe UI"/>
          <w:color w:val="000000"/>
          <w:sz w:val="28"/>
          <w:szCs w:val="28"/>
          <w:u w:val="none"/>
        </w:rPr>
        <w:fldChar w:fldCharType="end"/>
      </w:r>
    </w:p>
    <w:p>
      <w:pPr>
        <w:pStyle w:val="7"/>
        <w:ind w:right="843"/>
        <w:rPr>
          <w:rFonts w:ascii="仿宋" w:hAnsi="仿宋" w:eastAsia="仿宋" w:cs="Segoe UI"/>
          <w:color w:val="000000"/>
          <w:sz w:val="28"/>
          <w:szCs w:val="28"/>
        </w:rPr>
      </w:pPr>
      <w:r>
        <w:rPr>
          <w:rFonts w:hint="eastAsia" w:ascii="仿宋" w:hAnsi="仿宋" w:eastAsia="仿宋" w:cs="Segoe UI"/>
          <w:color w:val="000000"/>
          <w:sz w:val="28"/>
          <w:szCs w:val="28"/>
        </w:rPr>
        <w:t>普陀校区：大学生活动中心504</w:t>
      </w:r>
    </w:p>
    <w:p>
      <w:pPr>
        <w:pStyle w:val="7"/>
        <w:ind w:right="843"/>
        <w:jc w:val="both"/>
        <w:rPr>
          <w:rFonts w:ascii="仿宋" w:hAnsi="仿宋" w:eastAsia="仿宋" w:cs="Segoe UI"/>
          <w:color w:val="000000"/>
          <w:sz w:val="28"/>
          <w:szCs w:val="28"/>
        </w:rPr>
      </w:pPr>
      <w:r>
        <w:rPr>
          <w:rFonts w:hint="eastAsia" w:ascii="仿宋" w:hAnsi="仿宋" w:eastAsia="仿宋" w:cs="Segoe UI"/>
          <w:color w:val="000000"/>
          <w:sz w:val="28"/>
          <w:szCs w:val="28"/>
        </w:rPr>
        <w:t>闵行校区：学生之家B区304</w:t>
      </w:r>
    </w:p>
    <w:p>
      <w:pPr>
        <w:rPr>
          <w:rFonts w:ascii="Calibri" w:hAnsi="Calibri" w:eastAsia="仿宋" w:cs="Calibri"/>
          <w:color w:val="000000"/>
          <w:kern w:val="0"/>
          <w:sz w:val="28"/>
          <w:szCs w:val="28"/>
        </w:rPr>
      </w:pPr>
      <w:r>
        <w:rPr>
          <w:rFonts w:hint="eastAsia" w:ascii="Calibri" w:hAnsi="Calibri" w:eastAsia="仿宋" w:cs="Calibri"/>
          <w:color w:val="000000"/>
          <w:kern w:val="0"/>
          <w:sz w:val="28"/>
          <w:szCs w:val="28"/>
        </w:rPr>
        <w:t>附件：</w:t>
      </w:r>
    </w:p>
    <w:p>
      <w:pPr>
        <w:ind w:firstLine="840" w:firstLineChars="300"/>
        <w:rPr>
          <w:rFonts w:ascii="Calibri" w:hAnsi="Calibri" w:eastAsia="仿宋" w:cs="Calibri"/>
          <w:color w:val="000000"/>
          <w:kern w:val="0"/>
          <w:sz w:val="28"/>
          <w:szCs w:val="28"/>
        </w:rPr>
      </w:pPr>
      <w:r>
        <w:rPr>
          <w:rFonts w:hint="eastAsia" w:ascii="Calibri" w:hAnsi="Calibri" w:eastAsia="仿宋" w:cs="Calibri"/>
          <w:color w:val="000000"/>
          <w:kern w:val="0"/>
          <w:sz w:val="28"/>
          <w:szCs w:val="28"/>
        </w:rPr>
        <w:t>1．2023年上海市优秀毕业生院系推荐汇总表</w:t>
      </w:r>
    </w:p>
    <w:p>
      <w:pPr>
        <w:ind w:firstLine="840" w:firstLineChars="300"/>
        <w:rPr>
          <w:rFonts w:ascii="Calibri" w:hAnsi="Calibri" w:eastAsia="仿宋" w:cs="Calibri"/>
          <w:color w:val="000000"/>
          <w:kern w:val="0"/>
          <w:sz w:val="28"/>
          <w:szCs w:val="28"/>
        </w:rPr>
      </w:pPr>
      <w:r>
        <w:rPr>
          <w:rFonts w:hint="eastAsia" w:ascii="Calibri" w:hAnsi="Calibri" w:eastAsia="仿宋" w:cs="Calibri"/>
          <w:color w:val="000000"/>
          <w:kern w:val="0"/>
          <w:sz w:val="28"/>
          <w:szCs w:val="28"/>
        </w:rPr>
        <w:t>2．2023年校优秀毕业生院系推荐汇总表</w:t>
      </w:r>
    </w:p>
    <w:p>
      <w:pPr>
        <w:ind w:firstLine="840" w:firstLineChars="300"/>
        <w:rPr>
          <w:rFonts w:ascii="Calibri" w:hAnsi="Calibri" w:eastAsia="仿宋" w:cs="Calibri"/>
          <w:color w:val="000000"/>
          <w:kern w:val="0"/>
          <w:sz w:val="28"/>
          <w:szCs w:val="28"/>
        </w:rPr>
      </w:pPr>
      <w:r>
        <w:rPr>
          <w:rFonts w:hint="eastAsia" w:ascii="Calibri" w:hAnsi="Calibri" w:eastAsia="仿宋" w:cs="Calibri"/>
          <w:color w:val="000000"/>
          <w:kern w:val="0"/>
          <w:sz w:val="28"/>
          <w:szCs w:val="28"/>
        </w:rPr>
        <w:t>3．2023年推荐退役学生校优毕汇总表</w:t>
      </w:r>
    </w:p>
    <w:p>
      <w:pPr>
        <w:ind w:firstLine="840" w:firstLineChars="300"/>
        <w:rPr>
          <w:rFonts w:ascii="Calibri" w:hAnsi="Calibri" w:eastAsia="仿宋" w:cs="Calibri"/>
          <w:color w:val="000000"/>
          <w:kern w:val="0"/>
          <w:sz w:val="28"/>
          <w:szCs w:val="28"/>
        </w:rPr>
      </w:pPr>
      <w:r>
        <w:rPr>
          <w:rFonts w:hint="eastAsia" w:ascii="Calibri" w:hAnsi="Calibri" w:eastAsia="仿宋" w:cs="Calibri"/>
          <w:color w:val="000000"/>
          <w:kern w:val="0"/>
          <w:sz w:val="28"/>
          <w:szCs w:val="28"/>
        </w:rPr>
        <w:t>4．学生操作手册</w:t>
      </w:r>
    </w:p>
    <w:p>
      <w:pPr>
        <w:ind w:firstLine="840" w:firstLineChars="300"/>
        <w:rPr>
          <w:rFonts w:ascii="Calibri" w:hAnsi="Calibri" w:eastAsia="仿宋" w:cs="Calibri"/>
          <w:color w:val="000000"/>
          <w:kern w:val="0"/>
          <w:sz w:val="28"/>
          <w:szCs w:val="28"/>
        </w:rPr>
      </w:pPr>
      <w:r>
        <w:rPr>
          <w:rFonts w:hint="eastAsia" w:ascii="Calibri" w:hAnsi="Calibri" w:eastAsia="仿宋" w:cs="Calibri"/>
          <w:color w:val="000000"/>
          <w:kern w:val="0"/>
          <w:sz w:val="28"/>
          <w:szCs w:val="28"/>
        </w:rPr>
        <w:t>5．院系管理员操作手册</w:t>
      </w:r>
    </w:p>
    <w:p>
      <w:pPr>
        <w:pStyle w:val="7"/>
        <w:ind w:left="667" w:right="843"/>
        <w:jc w:val="right"/>
        <w:rPr>
          <w:rStyle w:val="11"/>
          <w:rFonts w:ascii="仿宋" w:hAnsi="仿宋" w:eastAsia="仿宋" w:cs="Segoe UI"/>
          <w:color w:val="000000"/>
          <w:sz w:val="28"/>
          <w:szCs w:val="28"/>
        </w:rPr>
      </w:pPr>
    </w:p>
    <w:p>
      <w:pPr>
        <w:pStyle w:val="7"/>
        <w:ind w:left="667" w:right="843"/>
        <w:jc w:val="right"/>
        <w:rPr>
          <w:rStyle w:val="11"/>
          <w:rFonts w:ascii="仿宋" w:hAnsi="仿宋" w:eastAsia="仿宋" w:cs="Segoe UI"/>
          <w:color w:val="000000"/>
          <w:sz w:val="28"/>
          <w:szCs w:val="28"/>
        </w:rPr>
      </w:pPr>
      <w:r>
        <w:rPr>
          <w:rStyle w:val="11"/>
          <w:rFonts w:hint="eastAsia" w:ascii="仿宋" w:hAnsi="仿宋" w:eastAsia="仿宋" w:cs="Segoe UI"/>
          <w:color w:val="000000"/>
          <w:sz w:val="28"/>
          <w:szCs w:val="28"/>
        </w:rPr>
        <w:t>学生（研究生）工作处</w:t>
      </w:r>
    </w:p>
    <w:p>
      <w:pPr>
        <w:pStyle w:val="7"/>
        <w:ind w:left="667" w:right="843"/>
        <w:jc w:val="right"/>
        <w:rPr>
          <w:rStyle w:val="11"/>
          <w:rFonts w:ascii="仿宋" w:hAnsi="仿宋" w:eastAsia="仿宋" w:cs="Segoe UI"/>
          <w:color w:val="000000"/>
          <w:sz w:val="28"/>
          <w:szCs w:val="28"/>
        </w:rPr>
      </w:pPr>
      <w:r>
        <w:rPr>
          <w:rStyle w:val="11"/>
          <w:rFonts w:hint="eastAsia" w:ascii="仿宋" w:hAnsi="仿宋" w:eastAsia="仿宋" w:cs="Segoe UI"/>
          <w:color w:val="000000"/>
          <w:sz w:val="28"/>
          <w:szCs w:val="28"/>
        </w:rPr>
        <w:t>学生资助管理中心</w:t>
      </w:r>
    </w:p>
    <w:p>
      <w:pPr>
        <w:pStyle w:val="7"/>
        <w:ind w:left="667" w:right="843"/>
        <w:jc w:val="right"/>
        <w:rPr>
          <w:rStyle w:val="11"/>
          <w:rFonts w:ascii="仿宋" w:hAnsi="仿宋" w:eastAsia="仿宋" w:cs="Segoe UI"/>
          <w:color w:val="000000"/>
          <w:sz w:val="28"/>
          <w:szCs w:val="28"/>
        </w:rPr>
      </w:pPr>
      <w:r>
        <w:rPr>
          <w:rStyle w:val="11"/>
          <w:rFonts w:hint="eastAsia" w:ascii="仿宋" w:hAnsi="仿宋" w:eastAsia="仿宋" w:cs="Segoe UI"/>
          <w:color w:val="000000"/>
          <w:sz w:val="28"/>
          <w:szCs w:val="28"/>
        </w:rPr>
        <w:t>2023年3月6日</w:t>
      </w:r>
    </w:p>
    <w:p>
      <w:pPr>
        <w:rPr>
          <w:rFonts w:ascii="方正小标宋简体" w:eastAsia="方正小标宋简体"/>
          <w:sz w:val="32"/>
          <w:szCs w:val="32"/>
        </w:rPr>
      </w:pPr>
      <w:r>
        <w:rPr>
          <w:rFonts w:hint="eastAsia" w:ascii="方正小标宋简体" w:eastAsia="方正小标宋简体"/>
          <w:sz w:val="32"/>
          <w:szCs w:val="32"/>
        </w:rPr>
        <w:br w:type="page"/>
      </w:r>
    </w:p>
    <w:p>
      <w:pPr>
        <w:jc w:val="left"/>
        <w:outlineLvl w:val="0"/>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附件1</w:t>
      </w:r>
    </w:p>
    <w:p>
      <w:pPr>
        <w:jc w:val="center"/>
        <w:rPr>
          <w:rFonts w:ascii="方正小标宋简体" w:eastAsia="方正小标宋简体"/>
          <w:sz w:val="32"/>
          <w:szCs w:val="32"/>
        </w:rPr>
      </w:pPr>
      <w:r>
        <w:rPr>
          <w:rFonts w:hint="eastAsia" w:ascii="黑体" w:hAnsi="黑体" w:eastAsia="黑体" w:cs="黑体"/>
          <w:sz w:val="32"/>
          <w:szCs w:val="32"/>
        </w:rPr>
        <w:t>2023年上海市优秀毕业生院系推荐汇总表</w:t>
      </w:r>
    </w:p>
    <w:tbl>
      <w:tblPr>
        <w:tblStyle w:val="9"/>
        <w:tblpPr w:leftFromText="180" w:rightFromText="180" w:vertAnchor="text" w:horzAnchor="page" w:tblpXSpec="center" w:tblpY="691"/>
        <w:tblOverlap w:val="never"/>
        <w:tblW w:w="10116" w:type="dxa"/>
        <w:jc w:val="center"/>
        <w:tblLayout w:type="autofit"/>
        <w:tblCellMar>
          <w:top w:w="0" w:type="dxa"/>
          <w:left w:w="108" w:type="dxa"/>
          <w:bottom w:w="0" w:type="dxa"/>
          <w:right w:w="108" w:type="dxa"/>
        </w:tblCellMar>
      </w:tblPr>
      <w:tblGrid>
        <w:gridCol w:w="696"/>
        <w:gridCol w:w="696"/>
        <w:gridCol w:w="696"/>
        <w:gridCol w:w="1416"/>
        <w:gridCol w:w="1176"/>
        <w:gridCol w:w="696"/>
        <w:gridCol w:w="1316"/>
        <w:gridCol w:w="1072"/>
        <w:gridCol w:w="1176"/>
        <w:gridCol w:w="1176"/>
      </w:tblGrid>
      <w:tr>
        <w:tblPrEx>
          <w:tblCellMar>
            <w:top w:w="0" w:type="dxa"/>
            <w:left w:w="108" w:type="dxa"/>
            <w:bottom w:w="0" w:type="dxa"/>
            <w:right w:w="108" w:type="dxa"/>
          </w:tblCellMar>
        </w:tblPrEx>
        <w:trPr>
          <w:trHeight w:val="825" w:hRule="atLeast"/>
          <w:jc w:val="center"/>
        </w:trPr>
        <w:tc>
          <w:tcPr>
            <w:tcW w:w="10116"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32"/>
                <w:szCs w:val="32"/>
              </w:rPr>
            </w:pPr>
            <w:r>
              <w:rPr>
                <w:rFonts w:hint="eastAsia" w:ascii="宋体" w:hAnsi="宋体" w:eastAsia="宋体" w:cs="宋体"/>
                <w:b/>
                <w:bCs/>
                <w:color w:val="000000"/>
                <w:kern w:val="0"/>
                <w:sz w:val="32"/>
                <w:szCs w:val="32"/>
                <w:lang w:bidi="ar"/>
              </w:rPr>
              <w:t>2023年上海市优秀毕业生院系推荐汇总表</w:t>
            </w:r>
          </w:p>
        </w:tc>
      </w:tr>
      <w:tr>
        <w:tblPrEx>
          <w:tblCellMar>
            <w:top w:w="0" w:type="dxa"/>
            <w:left w:w="108" w:type="dxa"/>
            <w:bottom w:w="0" w:type="dxa"/>
            <w:right w:w="108" w:type="dxa"/>
          </w:tblCellMar>
        </w:tblPrEx>
        <w:trPr>
          <w:trHeight w:val="15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学号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姓名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身份证号码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实体院系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专业</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学历（本科/研究生）</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学习形式（全日制/非全日制）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政治面貌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联系电话</w:t>
            </w:r>
          </w:p>
        </w:tc>
      </w:tr>
      <w:tr>
        <w:tblPrEx>
          <w:tblCellMar>
            <w:top w:w="0" w:type="dxa"/>
            <w:left w:w="108" w:type="dxa"/>
            <w:bottom w:w="0" w:type="dxa"/>
            <w:right w:w="108" w:type="dxa"/>
          </w:tblCellMar>
        </w:tblPrEx>
        <w:trPr>
          <w:trHeight w:val="31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4"/>
                <w:szCs w:val="24"/>
              </w:rPr>
            </w:pPr>
          </w:p>
        </w:tc>
      </w:tr>
      <w:tr>
        <w:tblPrEx>
          <w:tblCellMar>
            <w:top w:w="0" w:type="dxa"/>
            <w:left w:w="108" w:type="dxa"/>
            <w:bottom w:w="0" w:type="dxa"/>
            <w:right w:w="108" w:type="dxa"/>
          </w:tblCellMar>
        </w:tblPrEx>
        <w:trPr>
          <w:trHeight w:val="31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4"/>
                <w:szCs w:val="24"/>
              </w:rPr>
            </w:pPr>
          </w:p>
        </w:tc>
      </w:tr>
      <w:tr>
        <w:tblPrEx>
          <w:tblCellMar>
            <w:top w:w="0" w:type="dxa"/>
            <w:left w:w="108" w:type="dxa"/>
            <w:bottom w:w="0" w:type="dxa"/>
            <w:right w:w="108" w:type="dxa"/>
          </w:tblCellMar>
        </w:tblPrEx>
        <w:trPr>
          <w:trHeight w:val="31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4"/>
                <w:szCs w:val="24"/>
              </w:rPr>
            </w:pPr>
          </w:p>
        </w:tc>
      </w:tr>
      <w:tr>
        <w:tblPrEx>
          <w:tblCellMar>
            <w:top w:w="0" w:type="dxa"/>
            <w:left w:w="108" w:type="dxa"/>
            <w:bottom w:w="0" w:type="dxa"/>
            <w:right w:w="108" w:type="dxa"/>
          </w:tblCellMar>
        </w:tblPrEx>
        <w:trPr>
          <w:trHeight w:val="31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4"/>
                <w:szCs w:val="24"/>
              </w:rPr>
            </w:pPr>
          </w:p>
        </w:tc>
      </w:tr>
    </w:tbl>
    <w:p>
      <w:pPr>
        <w:rPr>
          <w:rFonts w:ascii="方正小标宋简体" w:eastAsia="方正小标宋简体"/>
          <w:sz w:val="32"/>
          <w:szCs w:val="32"/>
        </w:rPr>
      </w:pPr>
      <w:r>
        <w:rPr>
          <w:rFonts w:hint="eastAsia" w:ascii="方正小标宋简体" w:eastAsia="方正小标宋简体"/>
          <w:sz w:val="32"/>
          <w:szCs w:val="32"/>
        </w:rPr>
        <w:br w:type="page"/>
      </w:r>
    </w:p>
    <w:p>
      <w:pPr>
        <w:jc w:val="left"/>
        <w:outlineLvl w:val="0"/>
        <w:rPr>
          <w:rFonts w:ascii="黑体" w:hAnsi="黑体" w:eastAsia="黑体" w:cs="黑体"/>
          <w:sz w:val="32"/>
          <w:szCs w:val="32"/>
        </w:rPr>
      </w:pPr>
      <w:r>
        <w:rPr>
          <w:rFonts w:hint="eastAsia" w:ascii="黑体" w:hAnsi="黑体" w:eastAsia="黑体" w:cs="黑体"/>
          <w:sz w:val="32"/>
          <w:szCs w:val="32"/>
        </w:rPr>
        <w:t>附件2</w:t>
      </w:r>
    </w:p>
    <w:p>
      <w:pPr>
        <w:jc w:val="center"/>
        <w:rPr>
          <w:rFonts w:ascii="黑体" w:hAnsi="黑体" w:eastAsia="黑体" w:cs="黑体"/>
          <w:sz w:val="32"/>
          <w:szCs w:val="32"/>
        </w:rPr>
      </w:pPr>
      <w:r>
        <w:rPr>
          <w:rFonts w:hint="eastAsia" w:ascii="黑体" w:hAnsi="黑体" w:eastAsia="黑体" w:cs="黑体"/>
          <w:sz w:val="32"/>
          <w:szCs w:val="32"/>
        </w:rPr>
        <w:t>2023年校优秀毕业生院系推荐汇总表</w:t>
      </w:r>
    </w:p>
    <w:tbl>
      <w:tblPr>
        <w:tblStyle w:val="9"/>
        <w:tblpPr w:leftFromText="180" w:rightFromText="180" w:vertAnchor="text" w:horzAnchor="page" w:tblpXSpec="center" w:tblpY="569"/>
        <w:tblOverlap w:val="never"/>
        <w:tblW w:w="10189" w:type="dxa"/>
        <w:jc w:val="center"/>
        <w:tblLayout w:type="autofit"/>
        <w:tblCellMar>
          <w:top w:w="0" w:type="dxa"/>
          <w:left w:w="108" w:type="dxa"/>
          <w:bottom w:w="0" w:type="dxa"/>
          <w:right w:w="108" w:type="dxa"/>
        </w:tblCellMar>
      </w:tblPr>
      <w:tblGrid>
        <w:gridCol w:w="696"/>
        <w:gridCol w:w="696"/>
        <w:gridCol w:w="696"/>
        <w:gridCol w:w="1416"/>
        <w:gridCol w:w="1176"/>
        <w:gridCol w:w="696"/>
        <w:gridCol w:w="1364"/>
        <w:gridCol w:w="1097"/>
        <w:gridCol w:w="1176"/>
        <w:gridCol w:w="1176"/>
      </w:tblGrid>
      <w:tr>
        <w:tblPrEx>
          <w:tblCellMar>
            <w:top w:w="0" w:type="dxa"/>
            <w:left w:w="108" w:type="dxa"/>
            <w:bottom w:w="0" w:type="dxa"/>
            <w:right w:w="108" w:type="dxa"/>
          </w:tblCellMar>
        </w:tblPrEx>
        <w:trPr>
          <w:trHeight w:val="735" w:hRule="atLeast"/>
          <w:jc w:val="center"/>
        </w:trPr>
        <w:tc>
          <w:tcPr>
            <w:tcW w:w="10189"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32"/>
                <w:szCs w:val="32"/>
              </w:rPr>
            </w:pPr>
            <w:r>
              <w:rPr>
                <w:rFonts w:hint="eastAsia" w:ascii="宋体" w:hAnsi="宋体" w:eastAsia="宋体" w:cs="宋体"/>
                <w:b/>
                <w:bCs/>
                <w:color w:val="000000"/>
                <w:kern w:val="0"/>
                <w:sz w:val="32"/>
                <w:szCs w:val="32"/>
                <w:lang w:bidi="ar"/>
              </w:rPr>
              <w:t>2023年校优秀毕业生院系推荐汇总表</w:t>
            </w:r>
          </w:p>
        </w:tc>
      </w:tr>
      <w:tr>
        <w:tblPrEx>
          <w:tblCellMar>
            <w:top w:w="0" w:type="dxa"/>
            <w:left w:w="108" w:type="dxa"/>
            <w:bottom w:w="0" w:type="dxa"/>
            <w:right w:w="108" w:type="dxa"/>
          </w:tblCellMar>
        </w:tblPrEx>
        <w:trPr>
          <w:trHeight w:val="936"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学号</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姓名</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身份证号码</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实体院系</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专业</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学历（本科/研究生）</w:t>
            </w: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学习形式（全日制/非全日制）</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政治面貌</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联系电话</w:t>
            </w:r>
          </w:p>
        </w:tc>
      </w:tr>
      <w:tr>
        <w:tblPrEx>
          <w:tblCellMar>
            <w:top w:w="0" w:type="dxa"/>
            <w:left w:w="108" w:type="dxa"/>
            <w:bottom w:w="0" w:type="dxa"/>
            <w:right w:w="108" w:type="dxa"/>
          </w:tblCellMar>
        </w:tblPrEx>
        <w:trPr>
          <w:trHeight w:val="288"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等线" w:hAnsi="等线" w:eastAsia="等线" w:cs="等线"/>
                <w:color w:val="000000"/>
                <w:sz w:val="22"/>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等线" w:hAnsi="等线" w:eastAsia="等线" w:cs="等线"/>
                <w:color w:val="000000"/>
                <w:sz w:val="22"/>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等线" w:hAnsi="等线" w:eastAsia="等线" w:cs="等线"/>
                <w:color w:val="000000"/>
                <w:sz w:val="22"/>
              </w:rPr>
            </w:pP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等线" w:hAnsi="等线" w:eastAsia="等线" w:cs="等线"/>
                <w:color w:val="000000"/>
                <w:sz w:val="22"/>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等线" w:hAnsi="等线" w:eastAsia="等线" w:cs="等线"/>
                <w:color w:val="000000"/>
                <w:sz w:val="22"/>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等线" w:hAnsi="等线" w:eastAsia="等线" w:cs="等线"/>
                <w:color w:val="000000"/>
                <w:sz w:val="22"/>
              </w:rPr>
            </w:pPr>
          </w:p>
        </w:tc>
        <w:tc>
          <w:tcPr>
            <w:tcW w:w="1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等线" w:hAnsi="等线" w:eastAsia="等线" w:cs="等线"/>
                <w:color w:val="000000"/>
                <w:sz w:val="22"/>
              </w:rPr>
            </w:pPr>
          </w:p>
        </w:tc>
        <w:tc>
          <w:tcPr>
            <w:tcW w:w="1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等线" w:hAnsi="等线" w:eastAsia="等线" w:cs="等线"/>
                <w:color w:val="000000"/>
                <w:sz w:val="22"/>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等线" w:hAnsi="等线" w:eastAsia="等线" w:cs="等线"/>
                <w:color w:val="000000"/>
                <w:sz w:val="22"/>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等线" w:hAnsi="等线" w:eastAsia="等线" w:cs="等线"/>
                <w:color w:val="000000"/>
                <w:sz w:val="22"/>
              </w:rPr>
            </w:pPr>
          </w:p>
        </w:tc>
      </w:tr>
      <w:tr>
        <w:tblPrEx>
          <w:tblCellMar>
            <w:top w:w="0" w:type="dxa"/>
            <w:left w:w="108" w:type="dxa"/>
            <w:bottom w:w="0" w:type="dxa"/>
            <w:right w:w="108" w:type="dxa"/>
          </w:tblCellMar>
        </w:tblPrEx>
        <w:trPr>
          <w:trHeight w:val="288"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等线" w:hAnsi="等线" w:eastAsia="等线" w:cs="等线"/>
                <w:color w:val="000000"/>
                <w:sz w:val="22"/>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等线" w:hAnsi="等线" w:eastAsia="等线" w:cs="等线"/>
                <w:color w:val="000000"/>
                <w:sz w:val="22"/>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等线" w:hAnsi="等线" w:eastAsia="等线" w:cs="等线"/>
                <w:color w:val="000000"/>
                <w:sz w:val="22"/>
              </w:rPr>
            </w:pP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等线" w:hAnsi="等线" w:eastAsia="等线" w:cs="等线"/>
                <w:color w:val="000000"/>
                <w:sz w:val="22"/>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等线" w:hAnsi="等线" w:eastAsia="等线" w:cs="等线"/>
                <w:color w:val="000000"/>
                <w:sz w:val="22"/>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等线" w:hAnsi="等线" w:eastAsia="等线" w:cs="等线"/>
                <w:color w:val="000000"/>
                <w:sz w:val="22"/>
              </w:rPr>
            </w:pPr>
          </w:p>
        </w:tc>
        <w:tc>
          <w:tcPr>
            <w:tcW w:w="1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等线" w:hAnsi="等线" w:eastAsia="等线" w:cs="等线"/>
                <w:color w:val="000000"/>
                <w:sz w:val="22"/>
              </w:rPr>
            </w:pPr>
          </w:p>
        </w:tc>
        <w:tc>
          <w:tcPr>
            <w:tcW w:w="1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等线" w:hAnsi="等线" w:eastAsia="等线" w:cs="等线"/>
                <w:color w:val="000000"/>
                <w:sz w:val="22"/>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等线" w:hAnsi="等线" w:eastAsia="等线" w:cs="等线"/>
                <w:color w:val="000000"/>
                <w:sz w:val="22"/>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等线" w:hAnsi="等线" w:eastAsia="等线" w:cs="等线"/>
                <w:color w:val="000000"/>
                <w:sz w:val="22"/>
              </w:rPr>
            </w:pPr>
          </w:p>
        </w:tc>
      </w:tr>
      <w:tr>
        <w:tblPrEx>
          <w:tblCellMar>
            <w:top w:w="0" w:type="dxa"/>
            <w:left w:w="108" w:type="dxa"/>
            <w:bottom w:w="0" w:type="dxa"/>
            <w:right w:w="108" w:type="dxa"/>
          </w:tblCellMar>
        </w:tblPrEx>
        <w:trPr>
          <w:trHeight w:val="288"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等线" w:hAnsi="等线" w:eastAsia="等线" w:cs="等线"/>
                <w:color w:val="000000"/>
                <w:sz w:val="22"/>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等线" w:hAnsi="等线" w:eastAsia="等线" w:cs="等线"/>
                <w:color w:val="000000"/>
                <w:sz w:val="22"/>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等线" w:hAnsi="等线" w:eastAsia="等线" w:cs="等线"/>
                <w:color w:val="000000"/>
                <w:sz w:val="22"/>
              </w:rPr>
            </w:pP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等线" w:hAnsi="等线" w:eastAsia="等线" w:cs="等线"/>
                <w:color w:val="000000"/>
                <w:sz w:val="22"/>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等线" w:hAnsi="等线" w:eastAsia="等线" w:cs="等线"/>
                <w:color w:val="000000"/>
                <w:sz w:val="22"/>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等线" w:hAnsi="等线" w:eastAsia="等线" w:cs="等线"/>
                <w:color w:val="000000"/>
                <w:sz w:val="22"/>
              </w:rPr>
            </w:pPr>
          </w:p>
        </w:tc>
        <w:tc>
          <w:tcPr>
            <w:tcW w:w="1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等线" w:hAnsi="等线" w:eastAsia="等线" w:cs="等线"/>
                <w:color w:val="000000"/>
                <w:sz w:val="22"/>
              </w:rPr>
            </w:pPr>
          </w:p>
        </w:tc>
        <w:tc>
          <w:tcPr>
            <w:tcW w:w="1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等线" w:hAnsi="等线" w:eastAsia="等线" w:cs="等线"/>
                <w:color w:val="000000"/>
                <w:sz w:val="22"/>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等线" w:hAnsi="等线" w:eastAsia="等线" w:cs="等线"/>
                <w:color w:val="000000"/>
                <w:sz w:val="22"/>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等线" w:hAnsi="等线" w:eastAsia="等线" w:cs="等线"/>
                <w:color w:val="000000"/>
                <w:sz w:val="22"/>
              </w:rPr>
            </w:pPr>
          </w:p>
        </w:tc>
      </w:tr>
    </w:tbl>
    <w:p>
      <w:pPr>
        <w:rPr>
          <w:rFonts w:ascii="方正小标宋简体" w:eastAsia="方正小标宋简体"/>
          <w:sz w:val="32"/>
          <w:szCs w:val="32"/>
        </w:rPr>
      </w:pPr>
    </w:p>
    <w:p>
      <w:pPr>
        <w:rPr>
          <w:rFonts w:ascii="黑体" w:hAnsi="黑体" w:eastAsia="黑体" w:cs="黑体"/>
          <w:sz w:val="32"/>
          <w:szCs w:val="32"/>
        </w:rPr>
      </w:pPr>
      <w:r>
        <w:rPr>
          <w:rFonts w:hint="eastAsia" w:ascii="黑体" w:hAnsi="黑体" w:eastAsia="黑体" w:cs="黑体"/>
          <w:sz w:val="32"/>
          <w:szCs w:val="32"/>
        </w:rPr>
        <w:br w:type="page"/>
      </w:r>
    </w:p>
    <w:p>
      <w:pPr>
        <w:jc w:val="left"/>
        <w:outlineLvl w:val="0"/>
        <w:rPr>
          <w:rFonts w:ascii="黑体" w:hAnsi="黑体" w:eastAsia="黑体" w:cs="黑体"/>
          <w:sz w:val="32"/>
          <w:szCs w:val="32"/>
        </w:rPr>
      </w:pPr>
      <w:r>
        <w:rPr>
          <w:rFonts w:hint="eastAsia" w:ascii="黑体" w:hAnsi="黑体" w:eastAsia="黑体" w:cs="黑体"/>
          <w:sz w:val="32"/>
          <w:szCs w:val="32"/>
        </w:rPr>
        <w:t>附件3</w:t>
      </w:r>
    </w:p>
    <w:p>
      <w:pPr>
        <w:jc w:val="center"/>
        <w:rPr>
          <w:rFonts w:ascii="黑体" w:hAnsi="黑体" w:eastAsia="黑体" w:cs="黑体"/>
          <w:sz w:val="32"/>
          <w:szCs w:val="32"/>
        </w:rPr>
      </w:pPr>
      <w:r>
        <w:rPr>
          <w:rFonts w:ascii="黑体" w:hAnsi="黑体" w:eastAsia="黑体" w:cs="黑体"/>
          <w:sz w:val="32"/>
          <w:szCs w:val="32"/>
        </w:rPr>
        <w:t>202</w:t>
      </w:r>
      <w:r>
        <w:rPr>
          <w:rFonts w:hint="eastAsia" w:ascii="黑体" w:hAnsi="黑体" w:eastAsia="黑体" w:cs="黑体"/>
          <w:sz w:val="32"/>
          <w:szCs w:val="32"/>
        </w:rPr>
        <w:t>3</w:t>
      </w:r>
      <w:r>
        <w:rPr>
          <w:rFonts w:ascii="黑体" w:hAnsi="黑体" w:eastAsia="黑体" w:cs="黑体"/>
          <w:sz w:val="32"/>
          <w:szCs w:val="32"/>
        </w:rPr>
        <w:t>年推荐退役学生校优毕汇总表</w:t>
      </w:r>
    </w:p>
    <w:tbl>
      <w:tblPr>
        <w:tblStyle w:val="9"/>
        <w:tblpPr w:leftFromText="180" w:rightFromText="180" w:vertAnchor="text" w:horzAnchor="page" w:tblpXSpec="center" w:tblpY="982"/>
        <w:tblOverlap w:val="never"/>
        <w:tblW w:w="11557" w:type="dxa"/>
        <w:jc w:val="center"/>
        <w:tblLayout w:type="autofit"/>
        <w:tblCellMar>
          <w:top w:w="0" w:type="dxa"/>
          <w:left w:w="108" w:type="dxa"/>
          <w:bottom w:w="0" w:type="dxa"/>
          <w:right w:w="108" w:type="dxa"/>
        </w:tblCellMar>
      </w:tblPr>
      <w:tblGrid>
        <w:gridCol w:w="763"/>
        <w:gridCol w:w="763"/>
        <w:gridCol w:w="763"/>
        <w:gridCol w:w="1552"/>
        <w:gridCol w:w="1289"/>
        <w:gridCol w:w="763"/>
        <w:gridCol w:w="909"/>
        <w:gridCol w:w="888"/>
        <w:gridCol w:w="1289"/>
        <w:gridCol w:w="1289"/>
        <w:gridCol w:w="1289"/>
      </w:tblGrid>
      <w:tr>
        <w:tblPrEx>
          <w:tblCellMar>
            <w:top w:w="0" w:type="dxa"/>
            <w:left w:w="108" w:type="dxa"/>
            <w:bottom w:w="0" w:type="dxa"/>
            <w:right w:w="108" w:type="dxa"/>
          </w:tblCellMar>
        </w:tblPrEx>
        <w:trPr>
          <w:trHeight w:val="408" w:hRule="atLeast"/>
          <w:jc w:val="center"/>
        </w:trPr>
        <w:tc>
          <w:tcPr>
            <w:tcW w:w="11556"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32"/>
                <w:szCs w:val="32"/>
              </w:rPr>
            </w:pPr>
            <w:r>
              <w:rPr>
                <w:rFonts w:hint="eastAsia" w:ascii="宋体" w:hAnsi="宋体" w:eastAsia="宋体" w:cs="宋体"/>
                <w:b/>
                <w:bCs/>
                <w:color w:val="000000"/>
                <w:kern w:val="0"/>
                <w:sz w:val="32"/>
                <w:szCs w:val="32"/>
                <w:lang w:bidi="ar"/>
              </w:rPr>
              <w:t xml:space="preserve">2023年推荐退役学生校优毕汇总表 </w:t>
            </w:r>
          </w:p>
        </w:tc>
      </w:tr>
      <w:tr>
        <w:tblPrEx>
          <w:tblCellMar>
            <w:top w:w="0" w:type="dxa"/>
            <w:left w:w="108" w:type="dxa"/>
            <w:bottom w:w="0" w:type="dxa"/>
            <w:right w:w="108" w:type="dxa"/>
          </w:tblCellMar>
        </w:tblPrEx>
        <w:trPr>
          <w:trHeight w:val="15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学号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姓名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身份证号码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实体院系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专业</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学历（本科/研究生）</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学习形式（全日制/非全日制）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退役年份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政治面貌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联系电话</w:t>
            </w:r>
          </w:p>
        </w:tc>
      </w:tr>
      <w:tr>
        <w:tblPrEx>
          <w:tblCellMar>
            <w:top w:w="0" w:type="dxa"/>
            <w:left w:w="108" w:type="dxa"/>
            <w:bottom w:w="0" w:type="dxa"/>
            <w:right w:w="108" w:type="dxa"/>
          </w:tblCellMar>
        </w:tblPrEx>
        <w:trPr>
          <w:trHeight w:val="31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 w:val="22"/>
              </w:rPr>
            </w:pPr>
          </w:p>
        </w:tc>
      </w:tr>
      <w:tr>
        <w:tblPrEx>
          <w:tblCellMar>
            <w:top w:w="0" w:type="dxa"/>
            <w:left w:w="108" w:type="dxa"/>
            <w:bottom w:w="0" w:type="dxa"/>
            <w:right w:w="108" w:type="dxa"/>
          </w:tblCellMar>
        </w:tblPrEx>
        <w:trPr>
          <w:trHeight w:val="28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 w:val="22"/>
              </w:rPr>
            </w:pPr>
          </w:p>
        </w:tc>
      </w:tr>
      <w:tr>
        <w:tblPrEx>
          <w:tblCellMar>
            <w:top w:w="0" w:type="dxa"/>
            <w:left w:w="108" w:type="dxa"/>
            <w:bottom w:w="0" w:type="dxa"/>
            <w:right w:w="108" w:type="dxa"/>
          </w:tblCellMar>
        </w:tblPrEx>
        <w:trPr>
          <w:trHeight w:val="28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 w:val="22"/>
              </w:rPr>
            </w:pPr>
          </w:p>
        </w:tc>
      </w:tr>
    </w:tbl>
    <w:p>
      <w:pPr>
        <w:jc w:val="both"/>
        <w:rPr>
          <w:rFonts w:ascii="方正小标宋简体" w:eastAsia="方正小标宋简体"/>
          <w:sz w:val="32"/>
          <w:szCs w:val="32"/>
        </w:rPr>
      </w:pPr>
    </w:p>
    <w:p>
      <w:pPr>
        <w:rPr>
          <w:rFonts w:ascii="方正小标宋简体" w:eastAsia="方正小标宋简体"/>
          <w:sz w:val="32"/>
          <w:szCs w:val="32"/>
        </w:rPr>
      </w:pPr>
    </w:p>
    <w:p/>
    <w:p>
      <w:pPr>
        <w:rPr>
          <w:rFonts w:ascii="黑体" w:hAnsi="黑体" w:eastAsia="黑体" w:cs="黑体"/>
          <w:sz w:val="32"/>
          <w:szCs w:val="32"/>
        </w:rPr>
      </w:pPr>
      <w:r>
        <w:rPr>
          <w:rFonts w:hint="eastAsia" w:ascii="黑体" w:hAnsi="黑体" w:eastAsia="黑体" w:cs="黑体"/>
          <w:sz w:val="32"/>
          <w:szCs w:val="32"/>
        </w:rPr>
        <w:br w:type="page"/>
      </w:r>
    </w:p>
    <w:p>
      <w:pPr>
        <w:outlineLvl w:val="0"/>
        <w:rPr>
          <w:rFonts w:ascii="黑体" w:hAnsi="黑体" w:eastAsia="黑体" w:cs="黑体"/>
          <w:sz w:val="32"/>
          <w:szCs w:val="32"/>
        </w:rPr>
      </w:pPr>
      <w:r>
        <w:rPr>
          <w:rFonts w:hint="eastAsia" w:ascii="黑体" w:hAnsi="黑体" w:eastAsia="黑体" w:cs="黑体"/>
          <w:sz w:val="32"/>
          <w:szCs w:val="32"/>
        </w:rPr>
        <w:t>附件4</w:t>
      </w:r>
    </w:p>
    <w:p>
      <w:pPr>
        <w:pStyle w:val="14"/>
        <w:rPr>
          <w:rFonts w:cs="黑体"/>
          <w:b w:val="0"/>
          <w:kern w:val="2"/>
          <w:sz w:val="32"/>
          <w:szCs w:val="32"/>
        </w:rPr>
      </w:pPr>
      <w:bookmarkStart w:id="0" w:name="_Toc15564"/>
      <w:r>
        <w:rPr>
          <w:rFonts w:hint="eastAsia" w:cs="黑体"/>
          <w:b w:val="0"/>
          <w:kern w:val="2"/>
          <w:sz w:val="32"/>
          <w:szCs w:val="32"/>
        </w:rPr>
        <w:t>学生操作手册</w:t>
      </w:r>
      <w:bookmarkEnd w:id="0"/>
    </w:p>
    <w:p>
      <w:pPr>
        <w:pStyle w:val="15"/>
        <w:numPr>
          <w:ilvl w:val="0"/>
          <w:numId w:val="2"/>
        </w:numPr>
        <w:outlineLvl w:val="9"/>
        <w:rPr>
          <w:sz w:val="24"/>
          <w:szCs w:val="24"/>
        </w:rPr>
      </w:pPr>
      <w:bookmarkStart w:id="1" w:name="_Toc53501745"/>
      <w:bookmarkStart w:id="2" w:name="_Toc53502217"/>
      <w:bookmarkStart w:id="3" w:name="_Toc53921389"/>
      <w:bookmarkStart w:id="4" w:name="_Toc53501721"/>
      <w:r>
        <w:rPr>
          <w:rFonts w:hint="eastAsia"/>
          <w:sz w:val="24"/>
          <w:szCs w:val="24"/>
        </w:rPr>
        <w:t>登录系统</w:t>
      </w:r>
      <w:bookmarkEnd w:id="1"/>
      <w:bookmarkEnd w:id="2"/>
      <w:bookmarkEnd w:id="3"/>
      <w:bookmarkEnd w:id="4"/>
    </w:p>
    <w:p>
      <w:pPr>
        <w:rPr>
          <w:sz w:val="24"/>
          <w:szCs w:val="24"/>
        </w:rPr>
      </w:pPr>
      <w:r>
        <w:rPr>
          <w:rFonts w:hint="eastAsia"/>
          <w:sz w:val="24"/>
          <w:szCs w:val="24"/>
        </w:rPr>
        <w:t>系统支持两种登录方式：使用账号密码登录，或在公共数据库统一认证登录。</w:t>
      </w:r>
    </w:p>
    <w:p>
      <w:pPr>
        <w:pStyle w:val="16"/>
        <w:numPr>
          <w:ilvl w:val="1"/>
          <w:numId w:val="2"/>
        </w:numPr>
        <w:outlineLvl w:val="9"/>
        <w:rPr>
          <w:sz w:val="24"/>
          <w:szCs w:val="24"/>
        </w:rPr>
      </w:pPr>
      <w:bookmarkStart w:id="5" w:name="_Toc53501722"/>
      <w:bookmarkStart w:id="6" w:name="_Toc53502218"/>
      <w:bookmarkStart w:id="7" w:name="_Toc53501746"/>
      <w:bookmarkStart w:id="8" w:name="_Toc53921390"/>
      <w:r>
        <w:rPr>
          <w:rFonts w:hint="eastAsia"/>
          <w:sz w:val="24"/>
          <w:szCs w:val="24"/>
        </w:rPr>
        <w:t>账号密码登录</w:t>
      </w:r>
      <w:bookmarkEnd w:id="5"/>
      <w:bookmarkEnd w:id="6"/>
      <w:bookmarkEnd w:id="7"/>
      <w:bookmarkEnd w:id="8"/>
    </w:p>
    <w:p>
      <w:pPr>
        <w:rPr>
          <w:sz w:val="24"/>
          <w:szCs w:val="24"/>
        </w:rPr>
      </w:pPr>
      <w:r>
        <w:rPr>
          <w:rFonts w:hint="eastAsia"/>
          <w:sz w:val="24"/>
          <w:szCs w:val="24"/>
        </w:rPr>
        <w:t>点击“使用账号或企业微信扫码登陆”（图1.1），填写正确的用户名、密码、验证码后，点击“登录”（图1.2），等待页面跳转至系统首页。</w:t>
      </w:r>
    </w:p>
    <w:p>
      <w:pPr>
        <w:jc w:val="center"/>
        <w:rPr>
          <w:sz w:val="24"/>
          <w:szCs w:val="24"/>
        </w:rPr>
      </w:pPr>
      <w:r>
        <w:rPr>
          <w:sz w:val="24"/>
          <w:szCs w:val="24"/>
        </w:rPr>
        <w:drawing>
          <wp:inline distT="0" distB="0" distL="0" distR="0">
            <wp:extent cx="5204460" cy="2447925"/>
            <wp:effectExtent l="0" t="0" r="15240"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04604" cy="2448000"/>
                    </a:xfrm>
                    <a:prstGeom prst="rect">
                      <a:avLst/>
                    </a:prstGeom>
                    <a:noFill/>
                    <a:ln>
                      <a:noFill/>
                    </a:ln>
                  </pic:spPr>
                </pic:pic>
              </a:graphicData>
            </a:graphic>
          </wp:inline>
        </w:drawing>
      </w:r>
    </w:p>
    <w:p>
      <w:pPr>
        <w:jc w:val="center"/>
        <w:rPr>
          <w:sz w:val="24"/>
          <w:szCs w:val="24"/>
        </w:rPr>
      </w:pPr>
      <w:r>
        <w:rPr>
          <w:rFonts w:hint="eastAsia"/>
          <w:sz w:val="24"/>
          <w:szCs w:val="24"/>
        </w:rPr>
        <w:t>图1.</w:t>
      </w:r>
      <w:r>
        <w:rPr>
          <w:sz w:val="24"/>
          <w:szCs w:val="24"/>
        </w:rPr>
        <w:t>1</w:t>
      </w:r>
    </w:p>
    <w:p>
      <w:pPr>
        <w:jc w:val="center"/>
        <w:rPr>
          <w:sz w:val="24"/>
          <w:szCs w:val="24"/>
        </w:rPr>
      </w:pPr>
      <w:r>
        <w:rPr>
          <w:sz w:val="24"/>
          <w:szCs w:val="24"/>
        </w:rPr>
        <w:drawing>
          <wp:inline distT="0" distB="0" distL="0" distR="0">
            <wp:extent cx="5204460" cy="2447925"/>
            <wp:effectExtent l="0" t="0" r="15240" b="9525"/>
            <wp:docPr id="1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04604" cy="2448000"/>
                    </a:xfrm>
                    <a:prstGeom prst="rect">
                      <a:avLst/>
                    </a:prstGeom>
                    <a:noFill/>
                    <a:ln>
                      <a:noFill/>
                    </a:ln>
                  </pic:spPr>
                </pic:pic>
              </a:graphicData>
            </a:graphic>
          </wp:inline>
        </w:drawing>
      </w:r>
    </w:p>
    <w:p>
      <w:pPr>
        <w:jc w:val="center"/>
        <w:rPr>
          <w:sz w:val="24"/>
          <w:szCs w:val="24"/>
        </w:rPr>
      </w:pPr>
      <w:r>
        <w:rPr>
          <w:rFonts w:hint="eastAsia"/>
          <w:sz w:val="24"/>
          <w:szCs w:val="24"/>
        </w:rPr>
        <w:t>图1.2</w:t>
      </w:r>
    </w:p>
    <w:p>
      <w:pPr>
        <w:widowControl/>
        <w:jc w:val="left"/>
        <w:rPr>
          <w:sz w:val="24"/>
          <w:szCs w:val="24"/>
        </w:rPr>
      </w:pPr>
      <w:r>
        <w:rPr>
          <w:sz w:val="24"/>
          <w:szCs w:val="24"/>
        </w:rPr>
        <w:br w:type="page"/>
      </w:r>
    </w:p>
    <w:p>
      <w:pPr>
        <w:pStyle w:val="16"/>
        <w:numPr>
          <w:ilvl w:val="1"/>
          <w:numId w:val="2"/>
        </w:numPr>
        <w:outlineLvl w:val="9"/>
        <w:rPr>
          <w:sz w:val="24"/>
          <w:szCs w:val="24"/>
        </w:rPr>
      </w:pPr>
      <w:bookmarkStart w:id="9" w:name="_Toc53921391"/>
      <w:r>
        <w:rPr>
          <w:rFonts w:hint="eastAsia"/>
          <w:sz w:val="24"/>
          <w:szCs w:val="24"/>
        </w:rPr>
        <w:t>公共数据库统一认证登录</w:t>
      </w:r>
      <w:bookmarkEnd w:id="9"/>
    </w:p>
    <w:p>
      <w:pPr>
        <w:rPr>
          <w:sz w:val="24"/>
          <w:szCs w:val="24"/>
        </w:rPr>
      </w:pPr>
      <w:r>
        <w:rPr>
          <w:rFonts w:hint="eastAsia"/>
          <w:sz w:val="24"/>
          <w:szCs w:val="24"/>
        </w:rPr>
        <w:t>点击“前往ECNU统一认证”（图1</w:t>
      </w:r>
      <w:r>
        <w:rPr>
          <w:sz w:val="24"/>
          <w:szCs w:val="24"/>
        </w:rPr>
        <w:t>.3</w:t>
      </w:r>
      <w:r>
        <w:rPr>
          <w:rFonts w:hint="eastAsia"/>
          <w:sz w:val="24"/>
          <w:szCs w:val="24"/>
        </w:rPr>
        <w:t>），填写正确的用户名、密码、验证码后，点击“登录”（图1.</w:t>
      </w:r>
      <w:r>
        <w:rPr>
          <w:sz w:val="24"/>
          <w:szCs w:val="24"/>
        </w:rPr>
        <w:t>4</w:t>
      </w:r>
      <w:r>
        <w:rPr>
          <w:rFonts w:hint="eastAsia"/>
          <w:sz w:val="24"/>
          <w:szCs w:val="24"/>
        </w:rPr>
        <w:t>），等待页面跳转至系统首页。</w:t>
      </w:r>
    </w:p>
    <w:p>
      <w:pPr>
        <w:pStyle w:val="4"/>
        <w:spacing w:after="0"/>
        <w:jc w:val="center"/>
        <w:rPr>
          <w:sz w:val="24"/>
          <w:szCs w:val="24"/>
        </w:rPr>
      </w:pPr>
      <w:r>
        <w:rPr>
          <w:sz w:val="24"/>
          <w:szCs w:val="24"/>
        </w:rPr>
        <w:drawing>
          <wp:inline distT="0" distB="0" distL="0" distR="0">
            <wp:extent cx="5274310" cy="2584450"/>
            <wp:effectExtent l="0" t="0" r="254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2584961"/>
                    </a:xfrm>
                    <a:prstGeom prst="rect">
                      <a:avLst/>
                    </a:prstGeom>
                    <a:noFill/>
                    <a:ln>
                      <a:noFill/>
                    </a:ln>
                  </pic:spPr>
                </pic:pic>
              </a:graphicData>
            </a:graphic>
          </wp:inline>
        </w:drawing>
      </w:r>
    </w:p>
    <w:p>
      <w:pPr>
        <w:pStyle w:val="4"/>
        <w:jc w:val="center"/>
        <w:rPr>
          <w:sz w:val="24"/>
          <w:szCs w:val="24"/>
        </w:rPr>
      </w:pPr>
      <w:r>
        <w:rPr>
          <w:rFonts w:hint="eastAsia"/>
          <w:sz w:val="24"/>
          <w:szCs w:val="24"/>
        </w:rPr>
        <w:t>图1</w:t>
      </w:r>
      <w:r>
        <w:rPr>
          <w:sz w:val="24"/>
          <w:szCs w:val="24"/>
        </w:rPr>
        <w:t>.3</w:t>
      </w:r>
    </w:p>
    <w:p>
      <w:pPr>
        <w:pStyle w:val="4"/>
        <w:spacing w:after="0"/>
        <w:jc w:val="center"/>
        <w:rPr>
          <w:sz w:val="24"/>
          <w:szCs w:val="24"/>
        </w:rPr>
      </w:pPr>
      <w:r>
        <w:rPr>
          <w:sz w:val="24"/>
          <w:szCs w:val="24"/>
        </w:rPr>
        <w:drawing>
          <wp:inline distT="0" distB="0" distL="0" distR="0">
            <wp:extent cx="5274310" cy="2579370"/>
            <wp:effectExtent l="0" t="0" r="2540"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7"/>
                    <a:stretch>
                      <a:fillRect/>
                    </a:stretch>
                  </pic:blipFill>
                  <pic:spPr>
                    <a:xfrm>
                      <a:off x="0" y="0"/>
                      <a:ext cx="5274310" cy="2579370"/>
                    </a:xfrm>
                    <a:prstGeom prst="rect">
                      <a:avLst/>
                    </a:prstGeom>
                  </pic:spPr>
                </pic:pic>
              </a:graphicData>
            </a:graphic>
          </wp:inline>
        </w:drawing>
      </w:r>
    </w:p>
    <w:p>
      <w:pPr>
        <w:pStyle w:val="4"/>
        <w:jc w:val="center"/>
        <w:rPr>
          <w:sz w:val="24"/>
          <w:szCs w:val="24"/>
        </w:rPr>
      </w:pPr>
      <w:r>
        <w:rPr>
          <w:rFonts w:hint="eastAsia"/>
          <w:sz w:val="24"/>
          <w:szCs w:val="24"/>
        </w:rPr>
        <w:t>图1</w:t>
      </w:r>
      <w:r>
        <w:rPr>
          <w:sz w:val="24"/>
          <w:szCs w:val="24"/>
        </w:rPr>
        <w:t>.4</w:t>
      </w:r>
    </w:p>
    <w:p>
      <w:pPr>
        <w:widowControl/>
        <w:jc w:val="left"/>
        <w:rPr>
          <w:sz w:val="24"/>
          <w:szCs w:val="24"/>
        </w:rPr>
      </w:pPr>
      <w:r>
        <w:rPr>
          <w:sz w:val="24"/>
          <w:szCs w:val="24"/>
        </w:rPr>
        <w:br w:type="page"/>
      </w:r>
    </w:p>
    <w:p>
      <w:pPr>
        <w:pStyle w:val="15"/>
        <w:numPr>
          <w:ilvl w:val="0"/>
          <w:numId w:val="2"/>
        </w:numPr>
        <w:outlineLvl w:val="9"/>
        <w:rPr>
          <w:sz w:val="24"/>
          <w:szCs w:val="24"/>
        </w:rPr>
      </w:pPr>
      <w:bookmarkStart w:id="10" w:name="_Toc53921392"/>
      <w:bookmarkStart w:id="11" w:name="_Hlk53787830"/>
      <w:r>
        <w:rPr>
          <w:rFonts w:hint="eastAsia"/>
          <w:sz w:val="24"/>
          <w:szCs w:val="24"/>
        </w:rPr>
        <w:t>查看与申请奖助学金</w:t>
      </w:r>
      <w:bookmarkEnd w:id="10"/>
    </w:p>
    <w:bookmarkEnd w:id="11"/>
    <w:p>
      <w:pPr>
        <w:pStyle w:val="16"/>
        <w:numPr>
          <w:ilvl w:val="1"/>
          <w:numId w:val="2"/>
        </w:numPr>
        <w:outlineLvl w:val="9"/>
        <w:rPr>
          <w:sz w:val="24"/>
          <w:szCs w:val="24"/>
        </w:rPr>
      </w:pPr>
      <w:bookmarkStart w:id="12" w:name="_Toc17454"/>
      <w:bookmarkStart w:id="13" w:name="_Toc53921393"/>
      <w:r>
        <w:rPr>
          <w:rFonts w:hint="eastAsia"/>
          <w:sz w:val="24"/>
          <w:szCs w:val="24"/>
        </w:rPr>
        <w:t>奖助浏览</w:t>
      </w:r>
      <w:bookmarkEnd w:id="12"/>
      <w:bookmarkEnd w:id="13"/>
    </w:p>
    <w:p>
      <w:pPr>
        <w:rPr>
          <w:sz w:val="24"/>
          <w:szCs w:val="24"/>
        </w:rPr>
      </w:pPr>
      <w:r>
        <w:rPr>
          <w:rFonts w:hint="eastAsia"/>
          <w:sz w:val="24"/>
          <w:szCs w:val="24"/>
        </w:rPr>
        <w:t>展开左侧“奖助信息”，点击“奖助浏览”，可以看到学校当前所有的奖助信息，如果有待提交的草稿条目也会在此显示（图2</w:t>
      </w:r>
      <w:r>
        <w:rPr>
          <w:sz w:val="24"/>
          <w:szCs w:val="24"/>
        </w:rPr>
        <w:t>.1</w:t>
      </w:r>
      <w:r>
        <w:rPr>
          <w:rFonts w:hint="eastAsia"/>
          <w:sz w:val="24"/>
          <w:szCs w:val="24"/>
        </w:rPr>
        <w:t>）。</w:t>
      </w:r>
    </w:p>
    <w:p>
      <w:pPr>
        <w:jc w:val="center"/>
        <w:rPr>
          <w:sz w:val="24"/>
          <w:szCs w:val="24"/>
        </w:rPr>
      </w:pPr>
      <w:r>
        <w:rPr>
          <w:sz w:val="24"/>
          <w:szCs w:val="24"/>
        </w:rPr>
        <w:drawing>
          <wp:inline distT="0" distB="0" distL="0" distR="0">
            <wp:extent cx="5274310" cy="2609215"/>
            <wp:effectExtent l="0" t="0" r="254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8"/>
                    <a:stretch>
                      <a:fillRect/>
                    </a:stretch>
                  </pic:blipFill>
                  <pic:spPr>
                    <a:xfrm>
                      <a:off x="0" y="0"/>
                      <a:ext cx="5274310" cy="2609215"/>
                    </a:xfrm>
                    <a:prstGeom prst="rect">
                      <a:avLst/>
                    </a:prstGeom>
                  </pic:spPr>
                </pic:pic>
              </a:graphicData>
            </a:graphic>
          </wp:inline>
        </w:drawing>
      </w:r>
    </w:p>
    <w:p>
      <w:pPr>
        <w:jc w:val="center"/>
        <w:rPr>
          <w:sz w:val="24"/>
          <w:szCs w:val="24"/>
        </w:rPr>
      </w:pPr>
      <w:r>
        <w:rPr>
          <w:rFonts w:hint="eastAsia"/>
          <w:sz w:val="24"/>
          <w:szCs w:val="24"/>
        </w:rPr>
        <w:t>图2</w:t>
      </w:r>
      <w:r>
        <w:rPr>
          <w:sz w:val="24"/>
          <w:szCs w:val="24"/>
        </w:rPr>
        <w:t>.1</w:t>
      </w:r>
    </w:p>
    <w:p>
      <w:pPr>
        <w:pStyle w:val="16"/>
        <w:numPr>
          <w:ilvl w:val="1"/>
          <w:numId w:val="2"/>
        </w:numPr>
        <w:outlineLvl w:val="9"/>
        <w:rPr>
          <w:sz w:val="24"/>
          <w:szCs w:val="24"/>
        </w:rPr>
      </w:pPr>
      <w:bookmarkStart w:id="14" w:name="_Toc53921394"/>
      <w:r>
        <w:rPr>
          <w:rFonts w:hint="eastAsia"/>
          <w:sz w:val="24"/>
          <w:szCs w:val="24"/>
        </w:rPr>
        <w:t>奖助申请</w:t>
      </w:r>
      <w:bookmarkEnd w:id="14"/>
    </w:p>
    <w:p>
      <w:pPr>
        <w:rPr>
          <w:sz w:val="24"/>
          <w:szCs w:val="24"/>
        </w:rPr>
      </w:pPr>
      <w:r>
        <w:rPr>
          <w:rFonts w:hint="eastAsia"/>
          <w:sz w:val="24"/>
          <w:szCs w:val="24"/>
        </w:rPr>
        <w:t>在“奖助浏览”界面，点击对应条目右侧的“前往申请”申请该奖助（图</w:t>
      </w:r>
      <w:r>
        <w:rPr>
          <w:sz w:val="24"/>
          <w:szCs w:val="24"/>
        </w:rPr>
        <w:t>2</w:t>
      </w:r>
      <w:r>
        <w:rPr>
          <w:rFonts w:hint="eastAsia"/>
          <w:sz w:val="24"/>
          <w:szCs w:val="24"/>
        </w:rPr>
        <w:t>.</w:t>
      </w:r>
      <w:r>
        <w:rPr>
          <w:sz w:val="24"/>
          <w:szCs w:val="24"/>
        </w:rPr>
        <w:t>2</w:t>
      </w:r>
      <w:r>
        <w:rPr>
          <w:rFonts w:hint="eastAsia"/>
          <w:sz w:val="24"/>
          <w:szCs w:val="24"/>
        </w:rPr>
        <w:t>），如果不符合资格，浏览器顶部会有对应的提示信息。</w:t>
      </w:r>
    </w:p>
    <w:p>
      <w:pPr>
        <w:jc w:val="center"/>
        <w:rPr>
          <w:sz w:val="24"/>
          <w:szCs w:val="24"/>
        </w:rPr>
      </w:pPr>
      <w:r>
        <w:rPr>
          <w:rFonts w:hint="eastAsia"/>
          <w:sz w:val="24"/>
          <w:szCs w:val="24"/>
        </w:rPr>
        <w:drawing>
          <wp:inline distT="0" distB="0" distL="114300" distR="114300">
            <wp:extent cx="5337175" cy="2555875"/>
            <wp:effectExtent l="0" t="0" r="15875" b="15875"/>
            <wp:docPr id="2" name="图片 2" descr="1602298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02298722(1)"/>
                    <pic:cNvPicPr>
                      <a:picLocks noChangeAspect="1"/>
                    </pic:cNvPicPr>
                  </pic:nvPicPr>
                  <pic:blipFill>
                    <a:blip r:embed="rId9"/>
                    <a:srcRect r="4114"/>
                    <a:stretch>
                      <a:fillRect/>
                    </a:stretch>
                  </pic:blipFill>
                  <pic:spPr>
                    <a:xfrm>
                      <a:off x="0" y="0"/>
                      <a:ext cx="5337453" cy="2556000"/>
                    </a:xfrm>
                    <a:prstGeom prst="rect">
                      <a:avLst/>
                    </a:prstGeom>
                    <a:ln>
                      <a:noFill/>
                    </a:ln>
                  </pic:spPr>
                </pic:pic>
              </a:graphicData>
            </a:graphic>
          </wp:inline>
        </w:drawing>
      </w:r>
    </w:p>
    <w:p>
      <w:pPr>
        <w:jc w:val="center"/>
        <w:rPr>
          <w:sz w:val="24"/>
          <w:szCs w:val="24"/>
        </w:rPr>
      </w:pPr>
      <w:r>
        <w:rPr>
          <w:rFonts w:hint="eastAsia"/>
          <w:sz w:val="24"/>
          <w:szCs w:val="24"/>
        </w:rPr>
        <w:t>图2</w:t>
      </w:r>
      <w:r>
        <w:rPr>
          <w:sz w:val="24"/>
          <w:szCs w:val="24"/>
        </w:rPr>
        <w:t>.2</w:t>
      </w:r>
    </w:p>
    <w:p>
      <w:pPr>
        <w:rPr>
          <w:sz w:val="24"/>
          <w:szCs w:val="24"/>
        </w:rPr>
      </w:pPr>
      <w:bookmarkStart w:id="15" w:name="_Hlk53788032"/>
      <w:r>
        <w:rPr>
          <w:rFonts w:hint="eastAsia"/>
          <w:sz w:val="24"/>
          <w:szCs w:val="24"/>
        </w:rPr>
        <w:t>进入申请界面后</w:t>
      </w:r>
      <w:bookmarkEnd w:id="15"/>
      <w:r>
        <w:rPr>
          <w:rFonts w:hint="eastAsia"/>
          <w:sz w:val="24"/>
          <w:szCs w:val="24"/>
        </w:rPr>
        <w:t>，填写申请信息。带红色星号“*”标记的为必填项（图2</w:t>
      </w:r>
      <w:r>
        <w:rPr>
          <w:sz w:val="24"/>
          <w:szCs w:val="24"/>
        </w:rPr>
        <w:t>.3</w:t>
      </w:r>
      <w:r>
        <w:rPr>
          <w:rFonts w:hint="eastAsia"/>
          <w:sz w:val="24"/>
          <w:szCs w:val="24"/>
        </w:rPr>
        <w:t>）。</w:t>
      </w:r>
    </w:p>
    <w:p>
      <w:pPr>
        <w:jc w:val="center"/>
        <w:rPr>
          <w:sz w:val="24"/>
          <w:szCs w:val="24"/>
        </w:rPr>
      </w:pPr>
      <w:r>
        <w:rPr>
          <w:sz w:val="24"/>
          <w:szCs w:val="24"/>
        </w:rPr>
        <w:drawing>
          <wp:inline distT="0" distB="0" distL="114300" distR="114300">
            <wp:extent cx="5219700" cy="2519680"/>
            <wp:effectExtent l="0" t="0" r="0" b="1397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0"/>
                    <a:stretch>
                      <a:fillRect/>
                    </a:stretch>
                  </pic:blipFill>
                  <pic:spPr>
                    <a:xfrm>
                      <a:off x="0" y="0"/>
                      <a:ext cx="5220180" cy="2520000"/>
                    </a:xfrm>
                    <a:prstGeom prst="rect">
                      <a:avLst/>
                    </a:prstGeom>
                    <a:noFill/>
                    <a:ln>
                      <a:noFill/>
                    </a:ln>
                  </pic:spPr>
                </pic:pic>
              </a:graphicData>
            </a:graphic>
          </wp:inline>
        </w:drawing>
      </w:r>
    </w:p>
    <w:p>
      <w:pPr>
        <w:jc w:val="center"/>
        <w:rPr>
          <w:sz w:val="24"/>
          <w:szCs w:val="24"/>
        </w:rPr>
      </w:pPr>
      <w:r>
        <w:rPr>
          <w:rFonts w:hint="eastAsia"/>
          <w:sz w:val="24"/>
          <w:szCs w:val="24"/>
        </w:rPr>
        <w:t>图2</w:t>
      </w:r>
      <w:r>
        <w:rPr>
          <w:sz w:val="24"/>
          <w:szCs w:val="24"/>
        </w:rPr>
        <w:t>.3</w:t>
      </w:r>
    </w:p>
    <w:p>
      <w:pPr>
        <w:rPr>
          <w:sz w:val="24"/>
          <w:szCs w:val="24"/>
        </w:rPr>
      </w:pPr>
      <w:r>
        <w:rPr>
          <w:rFonts w:hint="eastAsia"/>
          <w:sz w:val="24"/>
          <w:szCs w:val="24"/>
        </w:rPr>
        <w:t>未填写完的申请表格通过可以点击表格底部的“保存草稿”按钮保存（图2</w:t>
      </w:r>
      <w:r>
        <w:rPr>
          <w:sz w:val="24"/>
          <w:szCs w:val="24"/>
        </w:rPr>
        <w:t>.4</w:t>
      </w:r>
      <w:r>
        <w:rPr>
          <w:rFonts w:hint="eastAsia"/>
          <w:sz w:val="24"/>
          <w:szCs w:val="24"/>
        </w:rPr>
        <w:t>），下次登陆时可以回到“我的奖助”页面中打开草稿继续填写。</w:t>
      </w:r>
    </w:p>
    <w:p>
      <w:pPr>
        <w:rPr>
          <w:sz w:val="24"/>
          <w:szCs w:val="24"/>
        </w:rPr>
      </w:pPr>
      <w:r>
        <w:rPr>
          <w:rFonts w:hint="eastAsia"/>
          <w:sz w:val="24"/>
          <w:szCs w:val="24"/>
        </w:rPr>
        <w:t>填写完毕后，点击文档底部的“提交审批”提交申请表格（图2</w:t>
      </w:r>
      <w:r>
        <w:rPr>
          <w:sz w:val="24"/>
          <w:szCs w:val="24"/>
        </w:rPr>
        <w:t>.4</w:t>
      </w:r>
      <w:r>
        <w:rPr>
          <w:rFonts w:hint="eastAsia"/>
          <w:sz w:val="24"/>
          <w:szCs w:val="24"/>
        </w:rPr>
        <w:t>）。提交申请后，除被退回，无法进行修改。提交成功后网页会自动跳转到“我的奖助”界面。</w:t>
      </w:r>
    </w:p>
    <w:p>
      <w:pPr>
        <w:jc w:val="center"/>
        <w:rPr>
          <w:sz w:val="24"/>
          <w:szCs w:val="24"/>
        </w:rPr>
      </w:pPr>
      <w:r>
        <w:rPr>
          <w:sz w:val="24"/>
          <w:szCs w:val="24"/>
        </w:rPr>
        <w:drawing>
          <wp:inline distT="0" distB="0" distL="114300" distR="114300">
            <wp:extent cx="5260340" cy="2546350"/>
            <wp:effectExtent l="0" t="0" r="16510" b="635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1"/>
                    <a:stretch>
                      <a:fillRect/>
                    </a:stretch>
                  </pic:blipFill>
                  <pic:spPr>
                    <a:xfrm>
                      <a:off x="0" y="0"/>
                      <a:ext cx="5260340" cy="2546350"/>
                    </a:xfrm>
                    <a:prstGeom prst="rect">
                      <a:avLst/>
                    </a:prstGeom>
                    <a:noFill/>
                    <a:ln>
                      <a:noFill/>
                    </a:ln>
                  </pic:spPr>
                </pic:pic>
              </a:graphicData>
            </a:graphic>
          </wp:inline>
        </w:drawing>
      </w:r>
    </w:p>
    <w:p>
      <w:pPr>
        <w:jc w:val="center"/>
        <w:rPr>
          <w:sz w:val="24"/>
          <w:szCs w:val="24"/>
        </w:rPr>
      </w:pPr>
      <w:r>
        <w:rPr>
          <w:rFonts w:hint="eastAsia"/>
          <w:sz w:val="24"/>
          <w:szCs w:val="24"/>
        </w:rPr>
        <w:t>图2</w:t>
      </w:r>
      <w:r>
        <w:rPr>
          <w:sz w:val="24"/>
          <w:szCs w:val="24"/>
        </w:rPr>
        <w:t>.4</w:t>
      </w:r>
    </w:p>
    <w:p>
      <w:pPr>
        <w:widowControl/>
        <w:jc w:val="left"/>
        <w:rPr>
          <w:sz w:val="24"/>
          <w:szCs w:val="24"/>
        </w:rPr>
      </w:pPr>
      <w:r>
        <w:rPr>
          <w:sz w:val="24"/>
          <w:szCs w:val="24"/>
        </w:rPr>
        <w:br w:type="page"/>
      </w:r>
    </w:p>
    <w:p>
      <w:pPr>
        <w:rPr>
          <w:sz w:val="24"/>
          <w:szCs w:val="24"/>
        </w:rPr>
      </w:pPr>
      <w:bookmarkStart w:id="16" w:name="_Hlk53796425"/>
      <w:r>
        <w:rPr>
          <w:rFonts w:hint="eastAsia"/>
          <w:sz w:val="24"/>
          <w:szCs w:val="24"/>
        </w:rPr>
        <w:t>点击“打印”按钮可以直接调用局域网中的打印机打印申请表格（图2</w:t>
      </w:r>
      <w:r>
        <w:rPr>
          <w:sz w:val="24"/>
          <w:szCs w:val="24"/>
        </w:rPr>
        <w:t>.5</w:t>
      </w:r>
      <w:r>
        <w:rPr>
          <w:rFonts w:hint="eastAsia"/>
          <w:sz w:val="24"/>
          <w:szCs w:val="24"/>
        </w:rPr>
        <w:t>），建议将打印比例自定义调整为</w:t>
      </w:r>
      <w:r>
        <w:rPr>
          <w:sz w:val="24"/>
          <w:szCs w:val="24"/>
        </w:rPr>
        <w:t>80</w:t>
      </w:r>
      <w:r>
        <w:rPr>
          <w:rFonts w:hint="eastAsia"/>
          <w:sz w:val="24"/>
          <w:szCs w:val="24"/>
        </w:rPr>
        <w:t>。</w:t>
      </w:r>
    </w:p>
    <w:p>
      <w:pPr>
        <w:jc w:val="center"/>
        <w:rPr>
          <w:sz w:val="24"/>
          <w:szCs w:val="24"/>
        </w:rPr>
      </w:pPr>
      <w:r>
        <w:rPr>
          <w:sz w:val="24"/>
          <w:szCs w:val="24"/>
        </w:rPr>
        <w:drawing>
          <wp:inline distT="0" distB="0" distL="114300" distR="114300">
            <wp:extent cx="5267325" cy="2590800"/>
            <wp:effectExtent l="0" t="0" r="9525"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2"/>
                    <a:stretch>
                      <a:fillRect/>
                    </a:stretch>
                  </pic:blipFill>
                  <pic:spPr>
                    <a:xfrm>
                      <a:off x="0" y="0"/>
                      <a:ext cx="5267325" cy="2590800"/>
                    </a:xfrm>
                    <a:prstGeom prst="rect">
                      <a:avLst/>
                    </a:prstGeom>
                    <a:noFill/>
                    <a:ln>
                      <a:noFill/>
                    </a:ln>
                  </pic:spPr>
                </pic:pic>
              </a:graphicData>
            </a:graphic>
          </wp:inline>
        </w:drawing>
      </w:r>
    </w:p>
    <w:p>
      <w:pPr>
        <w:jc w:val="center"/>
        <w:rPr>
          <w:sz w:val="24"/>
          <w:szCs w:val="24"/>
        </w:rPr>
      </w:pPr>
      <w:r>
        <w:rPr>
          <w:rFonts w:hint="eastAsia"/>
          <w:sz w:val="24"/>
          <w:szCs w:val="24"/>
        </w:rPr>
        <w:t>图2</w:t>
      </w:r>
      <w:r>
        <w:rPr>
          <w:sz w:val="24"/>
          <w:szCs w:val="24"/>
        </w:rPr>
        <w:t>.5</w:t>
      </w:r>
    </w:p>
    <w:bookmarkEnd w:id="16"/>
    <w:p>
      <w:pPr>
        <w:widowControl/>
        <w:jc w:val="left"/>
        <w:rPr>
          <w:sz w:val="24"/>
          <w:szCs w:val="24"/>
        </w:rPr>
      </w:pPr>
      <w:r>
        <w:rPr>
          <w:sz w:val="24"/>
          <w:szCs w:val="24"/>
        </w:rPr>
        <w:br w:type="page"/>
      </w:r>
    </w:p>
    <w:p>
      <w:pPr>
        <w:pStyle w:val="15"/>
        <w:numPr>
          <w:ilvl w:val="0"/>
          <w:numId w:val="2"/>
        </w:numPr>
        <w:outlineLvl w:val="9"/>
        <w:rPr>
          <w:sz w:val="24"/>
          <w:szCs w:val="24"/>
        </w:rPr>
      </w:pPr>
      <w:bookmarkStart w:id="17" w:name="_Toc53921395"/>
      <w:r>
        <w:rPr>
          <w:rFonts w:hint="eastAsia"/>
          <w:sz w:val="24"/>
          <w:szCs w:val="24"/>
        </w:rPr>
        <w:t>查看本人奖助学金信息</w:t>
      </w:r>
      <w:bookmarkEnd w:id="17"/>
    </w:p>
    <w:p>
      <w:pPr>
        <w:rPr>
          <w:sz w:val="24"/>
          <w:szCs w:val="24"/>
        </w:rPr>
      </w:pPr>
      <w:r>
        <w:rPr>
          <w:rFonts w:hint="eastAsia"/>
          <w:sz w:val="24"/>
          <w:szCs w:val="24"/>
        </w:rPr>
        <w:t>在左侧“奖助信息”一栏中，点击“我的奖助”可以查看已申请的奖助学金以及申请书草稿。</w:t>
      </w:r>
    </w:p>
    <w:p>
      <w:pPr>
        <w:pStyle w:val="16"/>
        <w:numPr>
          <w:ilvl w:val="1"/>
          <w:numId w:val="2"/>
        </w:numPr>
        <w:outlineLvl w:val="9"/>
        <w:rPr>
          <w:sz w:val="24"/>
          <w:szCs w:val="24"/>
        </w:rPr>
      </w:pPr>
      <w:bookmarkStart w:id="18" w:name="_Toc53921396"/>
      <w:r>
        <w:rPr>
          <w:rFonts w:hint="eastAsia"/>
          <w:sz w:val="24"/>
          <w:szCs w:val="24"/>
        </w:rPr>
        <w:t>我的申请</w:t>
      </w:r>
      <w:bookmarkEnd w:id="18"/>
    </w:p>
    <w:p>
      <w:pPr>
        <w:rPr>
          <w:sz w:val="24"/>
          <w:szCs w:val="24"/>
        </w:rPr>
      </w:pPr>
      <w:r>
        <w:rPr>
          <w:rFonts w:hint="eastAsia"/>
          <w:sz w:val="24"/>
          <w:szCs w:val="24"/>
        </w:rPr>
        <w:t>“我的申请”标签页中显示的是申请书草稿与正在等待审批的奖助学金。草稿条目可以点击其右侧对应的“修改申请表”继续编辑申请书；已提交的申请不可修改，可以点击其右侧的“查看申请表”查看或者打印申请表。（图3</w:t>
      </w:r>
      <w:r>
        <w:rPr>
          <w:sz w:val="24"/>
          <w:szCs w:val="24"/>
        </w:rPr>
        <w:t>.1</w:t>
      </w:r>
      <w:r>
        <w:rPr>
          <w:rFonts w:hint="eastAsia"/>
          <w:sz w:val="24"/>
          <w:szCs w:val="24"/>
        </w:rPr>
        <w:t>）</w:t>
      </w:r>
    </w:p>
    <w:p>
      <w:pPr>
        <w:jc w:val="center"/>
        <w:rPr>
          <w:sz w:val="24"/>
          <w:szCs w:val="24"/>
        </w:rPr>
      </w:pPr>
      <w:r>
        <w:rPr>
          <w:sz w:val="24"/>
          <w:szCs w:val="24"/>
        </w:rPr>
        <w:drawing>
          <wp:inline distT="0" distB="0" distL="114300" distR="114300">
            <wp:extent cx="4838065" cy="2339975"/>
            <wp:effectExtent l="0" t="0" r="635" b="317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3"/>
                    <a:stretch>
                      <a:fillRect/>
                    </a:stretch>
                  </pic:blipFill>
                  <pic:spPr>
                    <a:xfrm>
                      <a:off x="0" y="0"/>
                      <a:ext cx="4838337" cy="2340000"/>
                    </a:xfrm>
                    <a:prstGeom prst="rect">
                      <a:avLst/>
                    </a:prstGeom>
                    <a:noFill/>
                    <a:ln>
                      <a:noFill/>
                    </a:ln>
                  </pic:spPr>
                </pic:pic>
              </a:graphicData>
            </a:graphic>
          </wp:inline>
        </w:drawing>
      </w:r>
    </w:p>
    <w:p>
      <w:pPr>
        <w:jc w:val="center"/>
        <w:rPr>
          <w:sz w:val="24"/>
          <w:szCs w:val="24"/>
        </w:rPr>
      </w:pPr>
      <w:r>
        <w:rPr>
          <w:rFonts w:hint="eastAsia"/>
          <w:sz w:val="24"/>
          <w:szCs w:val="24"/>
        </w:rPr>
        <w:t>图3</w:t>
      </w:r>
      <w:r>
        <w:rPr>
          <w:sz w:val="24"/>
          <w:szCs w:val="24"/>
        </w:rPr>
        <w:t>.1</w:t>
      </w:r>
    </w:p>
    <w:p>
      <w:pPr>
        <w:pStyle w:val="16"/>
        <w:numPr>
          <w:ilvl w:val="1"/>
          <w:numId w:val="2"/>
        </w:numPr>
        <w:outlineLvl w:val="9"/>
        <w:rPr>
          <w:sz w:val="24"/>
          <w:szCs w:val="24"/>
        </w:rPr>
      </w:pPr>
      <w:bookmarkStart w:id="19" w:name="_Toc53921397"/>
      <w:bookmarkStart w:id="20" w:name="_Toc4240"/>
      <w:r>
        <w:rPr>
          <w:rFonts w:hint="eastAsia"/>
          <w:sz w:val="24"/>
          <w:szCs w:val="24"/>
        </w:rPr>
        <w:t>已获奖助</w:t>
      </w:r>
      <w:bookmarkEnd w:id="19"/>
      <w:bookmarkEnd w:id="20"/>
    </w:p>
    <w:p>
      <w:pPr>
        <w:rPr>
          <w:sz w:val="24"/>
          <w:szCs w:val="24"/>
        </w:rPr>
      </w:pPr>
      <w:r>
        <w:rPr>
          <w:rFonts w:hint="eastAsia"/>
          <w:sz w:val="24"/>
          <w:szCs w:val="24"/>
        </w:rPr>
        <w:t>在“已获奖助”标签页中里面可以看到已完成审批流程的奖助学金。（图3</w:t>
      </w:r>
      <w:r>
        <w:rPr>
          <w:sz w:val="24"/>
          <w:szCs w:val="24"/>
        </w:rPr>
        <w:t>.2</w:t>
      </w:r>
      <w:r>
        <w:rPr>
          <w:rFonts w:hint="eastAsia"/>
          <w:sz w:val="24"/>
          <w:szCs w:val="24"/>
        </w:rPr>
        <w:t>）</w:t>
      </w:r>
    </w:p>
    <w:p>
      <w:pPr>
        <w:jc w:val="center"/>
        <w:rPr>
          <w:sz w:val="24"/>
          <w:szCs w:val="24"/>
        </w:rPr>
      </w:pPr>
      <w:r>
        <w:rPr>
          <w:sz w:val="24"/>
          <w:szCs w:val="24"/>
        </w:rPr>
        <w:drawing>
          <wp:inline distT="0" distB="0" distL="114300" distR="114300">
            <wp:extent cx="4908550" cy="2339975"/>
            <wp:effectExtent l="0" t="0" r="6350" b="317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4"/>
                    <a:stretch>
                      <a:fillRect/>
                    </a:stretch>
                  </pic:blipFill>
                  <pic:spPr>
                    <a:xfrm>
                      <a:off x="0" y="0"/>
                      <a:ext cx="4908726" cy="2340000"/>
                    </a:xfrm>
                    <a:prstGeom prst="rect">
                      <a:avLst/>
                    </a:prstGeom>
                    <a:noFill/>
                    <a:ln>
                      <a:noFill/>
                    </a:ln>
                  </pic:spPr>
                </pic:pic>
              </a:graphicData>
            </a:graphic>
          </wp:inline>
        </w:drawing>
      </w:r>
    </w:p>
    <w:p>
      <w:pPr>
        <w:jc w:val="center"/>
        <w:rPr>
          <w:sz w:val="24"/>
          <w:szCs w:val="24"/>
        </w:rPr>
      </w:pPr>
      <w:r>
        <w:rPr>
          <w:rFonts w:hint="eastAsia"/>
          <w:sz w:val="24"/>
          <w:szCs w:val="24"/>
        </w:rPr>
        <w:t>图3</w:t>
      </w:r>
      <w:r>
        <w:rPr>
          <w:sz w:val="24"/>
          <w:szCs w:val="24"/>
        </w:rPr>
        <w:t>.2</w:t>
      </w:r>
    </w:p>
    <w:p>
      <w:pPr>
        <w:pStyle w:val="15"/>
        <w:numPr>
          <w:ilvl w:val="0"/>
          <w:numId w:val="2"/>
        </w:numPr>
        <w:outlineLvl w:val="9"/>
        <w:rPr>
          <w:sz w:val="24"/>
          <w:szCs w:val="24"/>
        </w:rPr>
      </w:pPr>
      <w:bookmarkStart w:id="21" w:name="_Toc53921398"/>
      <w:r>
        <w:rPr>
          <w:rFonts w:hint="eastAsia"/>
          <w:sz w:val="24"/>
          <w:szCs w:val="24"/>
        </w:rPr>
        <w:t>编辑奖助学金长效管理</w:t>
      </w:r>
      <w:bookmarkEnd w:id="21"/>
    </w:p>
    <w:p>
      <w:pPr>
        <w:rPr>
          <w:sz w:val="24"/>
          <w:szCs w:val="24"/>
        </w:rPr>
      </w:pPr>
      <w:r>
        <w:rPr>
          <w:rFonts w:hint="eastAsia"/>
          <w:sz w:val="24"/>
          <w:szCs w:val="24"/>
        </w:rPr>
        <w:t>在左侧“奖助信息”一栏中，点击“奖助总结”，可以查看需要长效管理的奖助学金（图4</w:t>
      </w:r>
      <w:r>
        <w:rPr>
          <w:sz w:val="24"/>
          <w:szCs w:val="24"/>
        </w:rPr>
        <w:t>.1</w:t>
      </w:r>
      <w:r>
        <w:rPr>
          <w:rFonts w:hint="eastAsia"/>
          <w:sz w:val="24"/>
          <w:szCs w:val="24"/>
        </w:rPr>
        <w:t>）。</w:t>
      </w:r>
    </w:p>
    <w:p>
      <w:pPr>
        <w:jc w:val="center"/>
        <w:rPr>
          <w:sz w:val="24"/>
          <w:szCs w:val="24"/>
        </w:rPr>
      </w:pPr>
      <w:r>
        <w:rPr>
          <w:sz w:val="24"/>
          <w:szCs w:val="24"/>
        </w:rPr>
        <w:drawing>
          <wp:inline distT="0" distB="0" distL="114300" distR="114300">
            <wp:extent cx="5259705" cy="2553335"/>
            <wp:effectExtent l="0" t="0" r="17145" b="1841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5"/>
                    <a:stretch>
                      <a:fillRect/>
                    </a:stretch>
                  </pic:blipFill>
                  <pic:spPr>
                    <a:xfrm>
                      <a:off x="0" y="0"/>
                      <a:ext cx="5259705" cy="2553335"/>
                    </a:xfrm>
                    <a:prstGeom prst="rect">
                      <a:avLst/>
                    </a:prstGeom>
                    <a:noFill/>
                    <a:ln>
                      <a:noFill/>
                    </a:ln>
                  </pic:spPr>
                </pic:pic>
              </a:graphicData>
            </a:graphic>
          </wp:inline>
        </w:drawing>
      </w:r>
    </w:p>
    <w:p>
      <w:pPr>
        <w:jc w:val="center"/>
        <w:rPr>
          <w:sz w:val="24"/>
          <w:szCs w:val="24"/>
        </w:rPr>
      </w:pPr>
      <w:r>
        <w:rPr>
          <w:rFonts w:hint="eastAsia"/>
          <w:sz w:val="24"/>
          <w:szCs w:val="24"/>
        </w:rPr>
        <w:t>图4</w:t>
      </w:r>
      <w:r>
        <w:rPr>
          <w:sz w:val="24"/>
          <w:szCs w:val="24"/>
        </w:rPr>
        <w:t>.1</w:t>
      </w:r>
    </w:p>
    <w:p>
      <w:pPr>
        <w:rPr>
          <w:sz w:val="24"/>
          <w:szCs w:val="24"/>
        </w:rPr>
      </w:pPr>
      <w:r>
        <w:rPr>
          <w:rFonts w:hint="eastAsia"/>
          <w:sz w:val="24"/>
          <w:szCs w:val="24"/>
        </w:rPr>
        <w:t>点击对应条目的“修改我的长效管理”可以进行编辑，未填写完的长效管理可以点击文档底部的“保存草稿”按钮保存（图4</w:t>
      </w:r>
      <w:r>
        <w:rPr>
          <w:sz w:val="24"/>
          <w:szCs w:val="24"/>
        </w:rPr>
        <w:t>.2</w:t>
      </w:r>
      <w:r>
        <w:rPr>
          <w:rFonts w:hint="eastAsia"/>
          <w:sz w:val="24"/>
          <w:szCs w:val="24"/>
        </w:rPr>
        <w:t>），下次登陆时可以回到“我的奖助”页面中打开草稿继续填写。长效管理提交审批后，除被退回，无法进行修改。</w:t>
      </w:r>
    </w:p>
    <w:p>
      <w:pPr>
        <w:jc w:val="center"/>
        <w:rPr>
          <w:sz w:val="24"/>
          <w:szCs w:val="24"/>
        </w:rPr>
      </w:pPr>
      <w:r>
        <w:rPr>
          <w:sz w:val="24"/>
          <w:szCs w:val="24"/>
        </w:rPr>
        <w:drawing>
          <wp:inline distT="0" distB="0" distL="114300" distR="114300">
            <wp:extent cx="5257800" cy="2532380"/>
            <wp:effectExtent l="0" t="0" r="0" b="127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6"/>
                    <a:stretch>
                      <a:fillRect/>
                    </a:stretch>
                  </pic:blipFill>
                  <pic:spPr>
                    <a:xfrm>
                      <a:off x="0" y="0"/>
                      <a:ext cx="5257800" cy="2532380"/>
                    </a:xfrm>
                    <a:prstGeom prst="rect">
                      <a:avLst/>
                    </a:prstGeom>
                    <a:noFill/>
                    <a:ln>
                      <a:noFill/>
                    </a:ln>
                  </pic:spPr>
                </pic:pic>
              </a:graphicData>
            </a:graphic>
          </wp:inline>
        </w:drawing>
      </w:r>
    </w:p>
    <w:p>
      <w:pPr>
        <w:jc w:val="center"/>
        <w:rPr>
          <w:sz w:val="24"/>
          <w:szCs w:val="24"/>
        </w:rPr>
      </w:pPr>
      <w:r>
        <w:rPr>
          <w:rFonts w:hint="eastAsia"/>
          <w:sz w:val="24"/>
          <w:szCs w:val="24"/>
        </w:rPr>
        <w:t>图4.</w:t>
      </w:r>
      <w:r>
        <w:rPr>
          <w:sz w:val="24"/>
          <w:szCs w:val="24"/>
        </w:rPr>
        <w:t>2</w:t>
      </w:r>
    </w:p>
    <w:p>
      <w:pPr>
        <w:widowControl/>
        <w:jc w:val="left"/>
        <w:rPr>
          <w:sz w:val="24"/>
          <w:szCs w:val="24"/>
        </w:rPr>
      </w:pPr>
      <w:r>
        <w:rPr>
          <w:sz w:val="24"/>
          <w:szCs w:val="24"/>
        </w:rPr>
        <w:br w:type="page"/>
      </w:r>
    </w:p>
    <w:p>
      <w:pPr>
        <w:pStyle w:val="15"/>
        <w:numPr>
          <w:ilvl w:val="0"/>
          <w:numId w:val="2"/>
        </w:numPr>
        <w:outlineLvl w:val="9"/>
        <w:rPr>
          <w:sz w:val="24"/>
          <w:szCs w:val="24"/>
        </w:rPr>
      </w:pPr>
      <w:bookmarkStart w:id="22" w:name="_Toc139"/>
      <w:bookmarkStart w:id="23" w:name="_Toc53921399"/>
      <w:r>
        <w:rPr>
          <w:rFonts w:hint="eastAsia"/>
          <w:sz w:val="24"/>
          <w:szCs w:val="24"/>
        </w:rPr>
        <w:t>查看正在公示</w:t>
      </w:r>
      <w:bookmarkEnd w:id="22"/>
      <w:r>
        <w:rPr>
          <w:rFonts w:hint="eastAsia"/>
          <w:sz w:val="24"/>
          <w:szCs w:val="24"/>
        </w:rPr>
        <w:t>的奖助学金</w:t>
      </w:r>
      <w:bookmarkEnd w:id="23"/>
    </w:p>
    <w:p>
      <w:pPr>
        <w:rPr>
          <w:sz w:val="24"/>
          <w:szCs w:val="24"/>
        </w:rPr>
      </w:pPr>
      <w:r>
        <w:rPr>
          <w:rFonts w:hint="eastAsia"/>
          <w:sz w:val="24"/>
          <w:szCs w:val="24"/>
        </w:rPr>
        <w:t>在左侧“奖助信息”一栏中，点击“公示信息”，可以查看正在进行全校公示的奖助学金，点击“查看公示详情”查看获奖助学生名单（图5</w:t>
      </w:r>
      <w:r>
        <w:rPr>
          <w:sz w:val="24"/>
          <w:szCs w:val="24"/>
        </w:rPr>
        <w:t>.1</w:t>
      </w:r>
      <w:r>
        <w:rPr>
          <w:rFonts w:hint="eastAsia"/>
          <w:sz w:val="24"/>
          <w:szCs w:val="24"/>
        </w:rPr>
        <w:t>）。</w:t>
      </w:r>
    </w:p>
    <w:p>
      <w:pPr>
        <w:jc w:val="center"/>
        <w:rPr>
          <w:sz w:val="24"/>
          <w:szCs w:val="24"/>
        </w:rPr>
      </w:pPr>
      <w:r>
        <w:rPr>
          <w:sz w:val="24"/>
          <w:szCs w:val="24"/>
        </w:rPr>
        <w:drawing>
          <wp:inline distT="0" distB="0" distL="114300" distR="114300">
            <wp:extent cx="5263515" cy="2538730"/>
            <wp:effectExtent l="0" t="0" r="13335"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63515" cy="2538730"/>
                    </a:xfrm>
                    <a:prstGeom prst="rect">
                      <a:avLst/>
                    </a:prstGeom>
                    <a:noFill/>
                    <a:ln>
                      <a:noFill/>
                    </a:ln>
                  </pic:spPr>
                </pic:pic>
              </a:graphicData>
            </a:graphic>
          </wp:inline>
        </w:drawing>
      </w:r>
    </w:p>
    <w:p>
      <w:pPr>
        <w:jc w:val="center"/>
        <w:rPr>
          <w:sz w:val="24"/>
          <w:szCs w:val="24"/>
        </w:rPr>
      </w:pPr>
      <w:r>
        <w:rPr>
          <w:rFonts w:hint="eastAsia"/>
          <w:sz w:val="24"/>
          <w:szCs w:val="24"/>
        </w:rPr>
        <w:t>图5</w:t>
      </w:r>
      <w:r>
        <w:rPr>
          <w:sz w:val="24"/>
          <w:szCs w:val="24"/>
        </w:rPr>
        <w:t>.1</w:t>
      </w:r>
    </w:p>
    <w:p>
      <w:pPr>
        <w:rPr>
          <w:rFonts w:ascii="方正小标宋简体" w:eastAsia="方正小标宋简体"/>
          <w:sz w:val="24"/>
          <w:szCs w:val="24"/>
        </w:rPr>
      </w:pPr>
    </w:p>
    <w:p>
      <w:pPr>
        <w:rPr>
          <w:rFonts w:ascii="方正小标宋简体" w:eastAsia="方正小标宋简体"/>
          <w:sz w:val="24"/>
          <w:szCs w:val="24"/>
        </w:rPr>
      </w:pPr>
      <w:r>
        <w:rPr>
          <w:rFonts w:hint="eastAsia" w:ascii="方正小标宋简体" w:eastAsia="方正小标宋简体"/>
          <w:sz w:val="24"/>
          <w:szCs w:val="24"/>
        </w:rPr>
        <w:br w:type="page"/>
      </w:r>
    </w:p>
    <w:p>
      <w:pPr>
        <w:outlineLvl w:val="0"/>
        <w:rPr>
          <w:rFonts w:ascii="黑体" w:hAnsi="黑体" w:eastAsia="黑体" w:cs="黑体"/>
          <w:sz w:val="32"/>
          <w:szCs w:val="32"/>
        </w:rPr>
      </w:pPr>
      <w:r>
        <w:rPr>
          <w:rFonts w:hint="eastAsia" w:ascii="黑体" w:hAnsi="黑体" w:eastAsia="黑体" w:cs="黑体"/>
          <w:sz w:val="32"/>
          <w:szCs w:val="32"/>
        </w:rPr>
        <w:t>附件5</w:t>
      </w:r>
    </w:p>
    <w:p>
      <w:pPr>
        <w:pStyle w:val="14"/>
        <w:rPr>
          <w:rFonts w:cs="黑体"/>
          <w:sz w:val="32"/>
          <w:szCs w:val="32"/>
        </w:rPr>
      </w:pPr>
      <w:r>
        <w:rPr>
          <w:rFonts w:hint="eastAsia" w:cs="黑体"/>
          <w:b w:val="0"/>
          <w:kern w:val="2"/>
          <w:sz w:val="32"/>
          <w:szCs w:val="32"/>
        </w:rPr>
        <w:t>院系管理员操作手册</w:t>
      </w:r>
    </w:p>
    <w:p>
      <w:pPr>
        <w:pStyle w:val="15"/>
        <w:numPr>
          <w:ilvl w:val="0"/>
          <w:numId w:val="3"/>
        </w:numPr>
        <w:outlineLvl w:val="9"/>
        <w:rPr>
          <w:sz w:val="24"/>
          <w:szCs w:val="24"/>
        </w:rPr>
      </w:pPr>
      <w:bookmarkStart w:id="24" w:name="_Toc53619150"/>
      <w:bookmarkStart w:id="25" w:name="_Toc53924853"/>
      <w:bookmarkStart w:id="26" w:name="_Toc53620640"/>
      <w:bookmarkStart w:id="27" w:name="_Toc53501723"/>
      <w:bookmarkStart w:id="28" w:name="_Toc53502219"/>
      <w:bookmarkStart w:id="29" w:name="_Toc4298"/>
      <w:bookmarkStart w:id="30" w:name="_Toc53501747"/>
      <w:r>
        <w:rPr>
          <w:rFonts w:hint="eastAsia"/>
          <w:sz w:val="24"/>
          <w:szCs w:val="24"/>
        </w:rPr>
        <w:t>登录系统</w:t>
      </w:r>
      <w:bookmarkEnd w:id="24"/>
      <w:bookmarkEnd w:id="25"/>
    </w:p>
    <w:p>
      <w:pPr>
        <w:rPr>
          <w:sz w:val="24"/>
          <w:szCs w:val="24"/>
        </w:rPr>
      </w:pPr>
      <w:r>
        <w:rPr>
          <w:rFonts w:hint="eastAsia"/>
          <w:sz w:val="24"/>
          <w:szCs w:val="24"/>
        </w:rPr>
        <w:t>系统支持两种登录方式：使用账号密码登录，或在公共数据库统一认证登录。</w:t>
      </w:r>
    </w:p>
    <w:p>
      <w:pPr>
        <w:pStyle w:val="16"/>
        <w:numPr>
          <w:ilvl w:val="1"/>
          <w:numId w:val="2"/>
        </w:numPr>
        <w:outlineLvl w:val="9"/>
        <w:rPr>
          <w:sz w:val="24"/>
          <w:szCs w:val="24"/>
        </w:rPr>
      </w:pPr>
      <w:bookmarkStart w:id="31" w:name="_Toc53619151"/>
      <w:bookmarkStart w:id="32" w:name="_Toc53924854"/>
      <w:r>
        <w:rPr>
          <w:rFonts w:hint="eastAsia"/>
          <w:sz w:val="24"/>
          <w:szCs w:val="24"/>
        </w:rPr>
        <w:t>账号密码登录</w:t>
      </w:r>
      <w:bookmarkEnd w:id="31"/>
      <w:bookmarkEnd w:id="32"/>
    </w:p>
    <w:p>
      <w:pPr>
        <w:rPr>
          <w:sz w:val="24"/>
          <w:szCs w:val="24"/>
        </w:rPr>
      </w:pPr>
      <w:r>
        <w:rPr>
          <w:rFonts w:hint="eastAsia"/>
          <w:sz w:val="24"/>
          <w:szCs w:val="24"/>
        </w:rPr>
        <w:t>点击“使用账号或企业微信扫码登陆”（图1.1），填写正确的用户名、密码、验证码后，点击“登录”（图1.2），等待页面跳转至系统首页。</w:t>
      </w:r>
    </w:p>
    <w:p>
      <w:pPr>
        <w:jc w:val="center"/>
        <w:rPr>
          <w:sz w:val="24"/>
          <w:szCs w:val="24"/>
        </w:rPr>
      </w:pPr>
      <w:r>
        <w:rPr>
          <w:sz w:val="24"/>
          <w:szCs w:val="24"/>
        </w:rPr>
        <w:drawing>
          <wp:inline distT="0" distB="0" distL="0" distR="0">
            <wp:extent cx="5204460" cy="2447925"/>
            <wp:effectExtent l="0" t="0" r="15240" b="9525"/>
            <wp:docPr id="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04604" cy="2448000"/>
                    </a:xfrm>
                    <a:prstGeom prst="rect">
                      <a:avLst/>
                    </a:prstGeom>
                    <a:noFill/>
                    <a:ln>
                      <a:noFill/>
                    </a:ln>
                  </pic:spPr>
                </pic:pic>
              </a:graphicData>
            </a:graphic>
          </wp:inline>
        </w:drawing>
      </w:r>
    </w:p>
    <w:p>
      <w:pPr>
        <w:jc w:val="center"/>
        <w:rPr>
          <w:sz w:val="24"/>
          <w:szCs w:val="24"/>
        </w:rPr>
      </w:pPr>
      <w:r>
        <w:rPr>
          <w:rFonts w:hint="eastAsia"/>
          <w:sz w:val="24"/>
          <w:szCs w:val="24"/>
        </w:rPr>
        <w:t>图1.</w:t>
      </w:r>
      <w:r>
        <w:rPr>
          <w:sz w:val="24"/>
          <w:szCs w:val="24"/>
        </w:rPr>
        <w:t>1</w:t>
      </w:r>
    </w:p>
    <w:p>
      <w:pPr>
        <w:jc w:val="center"/>
        <w:rPr>
          <w:sz w:val="24"/>
          <w:szCs w:val="24"/>
        </w:rPr>
      </w:pPr>
      <w:r>
        <w:rPr>
          <w:sz w:val="24"/>
          <w:szCs w:val="24"/>
        </w:rPr>
        <w:drawing>
          <wp:inline distT="0" distB="0" distL="0" distR="0">
            <wp:extent cx="5204460" cy="2447925"/>
            <wp:effectExtent l="0" t="0" r="15240" b="9525"/>
            <wp:docPr id="3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04604" cy="2448000"/>
                    </a:xfrm>
                    <a:prstGeom prst="rect">
                      <a:avLst/>
                    </a:prstGeom>
                    <a:noFill/>
                    <a:ln>
                      <a:noFill/>
                    </a:ln>
                  </pic:spPr>
                </pic:pic>
              </a:graphicData>
            </a:graphic>
          </wp:inline>
        </w:drawing>
      </w:r>
    </w:p>
    <w:p>
      <w:pPr>
        <w:jc w:val="center"/>
        <w:rPr>
          <w:sz w:val="24"/>
          <w:szCs w:val="24"/>
        </w:rPr>
      </w:pPr>
      <w:r>
        <w:rPr>
          <w:rFonts w:hint="eastAsia"/>
          <w:sz w:val="24"/>
          <w:szCs w:val="24"/>
        </w:rPr>
        <w:t>图1.2</w:t>
      </w:r>
    </w:p>
    <w:p>
      <w:pPr>
        <w:widowControl/>
        <w:jc w:val="left"/>
        <w:rPr>
          <w:sz w:val="24"/>
          <w:szCs w:val="24"/>
        </w:rPr>
      </w:pPr>
      <w:r>
        <w:rPr>
          <w:sz w:val="24"/>
          <w:szCs w:val="24"/>
        </w:rPr>
        <w:br w:type="page"/>
      </w:r>
    </w:p>
    <w:p>
      <w:pPr>
        <w:pStyle w:val="16"/>
        <w:numPr>
          <w:ilvl w:val="1"/>
          <w:numId w:val="2"/>
        </w:numPr>
        <w:outlineLvl w:val="9"/>
        <w:rPr>
          <w:sz w:val="24"/>
          <w:szCs w:val="24"/>
        </w:rPr>
      </w:pPr>
      <w:bookmarkStart w:id="33" w:name="_Toc53924855"/>
      <w:bookmarkStart w:id="34" w:name="_Toc53619152"/>
      <w:r>
        <w:rPr>
          <w:rFonts w:hint="eastAsia"/>
          <w:sz w:val="24"/>
          <w:szCs w:val="24"/>
        </w:rPr>
        <w:t>公共数据库统一认证登录</w:t>
      </w:r>
      <w:bookmarkEnd w:id="33"/>
      <w:bookmarkEnd w:id="34"/>
    </w:p>
    <w:p>
      <w:pPr>
        <w:rPr>
          <w:sz w:val="24"/>
          <w:szCs w:val="24"/>
        </w:rPr>
      </w:pPr>
      <w:r>
        <w:rPr>
          <w:rFonts w:hint="eastAsia"/>
          <w:sz w:val="24"/>
          <w:szCs w:val="24"/>
        </w:rPr>
        <w:t>点击“前往ECNU统一认证”（图1</w:t>
      </w:r>
      <w:r>
        <w:rPr>
          <w:sz w:val="24"/>
          <w:szCs w:val="24"/>
        </w:rPr>
        <w:t>.3</w:t>
      </w:r>
      <w:r>
        <w:rPr>
          <w:rFonts w:hint="eastAsia"/>
          <w:sz w:val="24"/>
          <w:szCs w:val="24"/>
        </w:rPr>
        <w:t>），填写正确的用户名、密码、验证码后，点击“登录”（图1.</w:t>
      </w:r>
      <w:r>
        <w:rPr>
          <w:sz w:val="24"/>
          <w:szCs w:val="24"/>
        </w:rPr>
        <w:t>4</w:t>
      </w:r>
      <w:r>
        <w:rPr>
          <w:rFonts w:hint="eastAsia"/>
          <w:sz w:val="24"/>
          <w:szCs w:val="24"/>
        </w:rPr>
        <w:t>），等待页面跳转至系统首页。</w:t>
      </w:r>
    </w:p>
    <w:p>
      <w:pPr>
        <w:jc w:val="center"/>
        <w:rPr>
          <w:sz w:val="24"/>
          <w:szCs w:val="24"/>
        </w:rPr>
      </w:pPr>
      <w:r>
        <w:rPr>
          <w:sz w:val="24"/>
          <w:szCs w:val="24"/>
        </w:rPr>
        <w:drawing>
          <wp:inline distT="0" distB="0" distL="0" distR="0">
            <wp:extent cx="5274310" cy="2584450"/>
            <wp:effectExtent l="0" t="0" r="254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2584961"/>
                    </a:xfrm>
                    <a:prstGeom prst="rect">
                      <a:avLst/>
                    </a:prstGeom>
                    <a:noFill/>
                    <a:ln>
                      <a:noFill/>
                    </a:ln>
                  </pic:spPr>
                </pic:pic>
              </a:graphicData>
            </a:graphic>
          </wp:inline>
        </w:drawing>
      </w:r>
    </w:p>
    <w:p>
      <w:pPr>
        <w:spacing w:after="120"/>
        <w:jc w:val="center"/>
        <w:rPr>
          <w:sz w:val="24"/>
          <w:szCs w:val="24"/>
        </w:rPr>
      </w:pPr>
      <w:r>
        <w:rPr>
          <w:rFonts w:hint="eastAsia"/>
          <w:sz w:val="24"/>
          <w:szCs w:val="24"/>
        </w:rPr>
        <w:t>图1</w:t>
      </w:r>
      <w:r>
        <w:rPr>
          <w:sz w:val="24"/>
          <w:szCs w:val="24"/>
        </w:rPr>
        <w:t>.3</w:t>
      </w:r>
    </w:p>
    <w:p>
      <w:pPr>
        <w:tabs>
          <w:tab w:val="left" w:pos="7643"/>
        </w:tabs>
        <w:jc w:val="center"/>
        <w:rPr>
          <w:sz w:val="24"/>
          <w:szCs w:val="24"/>
        </w:rPr>
      </w:pPr>
      <w:r>
        <w:rPr>
          <w:sz w:val="24"/>
          <w:szCs w:val="24"/>
        </w:rPr>
        <w:drawing>
          <wp:inline distT="0" distB="0" distL="0" distR="0">
            <wp:extent cx="5274310" cy="2579370"/>
            <wp:effectExtent l="0" t="0" r="2540" b="114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7"/>
                    <a:stretch>
                      <a:fillRect/>
                    </a:stretch>
                  </pic:blipFill>
                  <pic:spPr>
                    <a:xfrm>
                      <a:off x="0" y="0"/>
                      <a:ext cx="5274310" cy="2579370"/>
                    </a:xfrm>
                    <a:prstGeom prst="rect">
                      <a:avLst/>
                    </a:prstGeom>
                  </pic:spPr>
                </pic:pic>
              </a:graphicData>
            </a:graphic>
          </wp:inline>
        </w:drawing>
      </w:r>
    </w:p>
    <w:p>
      <w:pPr>
        <w:spacing w:after="120"/>
        <w:jc w:val="center"/>
        <w:rPr>
          <w:sz w:val="24"/>
          <w:szCs w:val="24"/>
        </w:rPr>
      </w:pPr>
      <w:r>
        <w:rPr>
          <w:rFonts w:hint="eastAsia"/>
          <w:sz w:val="24"/>
          <w:szCs w:val="24"/>
        </w:rPr>
        <w:t>图1</w:t>
      </w:r>
      <w:r>
        <w:rPr>
          <w:sz w:val="24"/>
          <w:szCs w:val="24"/>
        </w:rPr>
        <w:t>.4</w:t>
      </w:r>
    </w:p>
    <w:p>
      <w:pPr>
        <w:widowControl/>
        <w:jc w:val="left"/>
        <w:rPr>
          <w:sz w:val="24"/>
          <w:szCs w:val="24"/>
        </w:rPr>
      </w:pPr>
      <w:r>
        <w:rPr>
          <w:sz w:val="24"/>
          <w:szCs w:val="24"/>
        </w:rPr>
        <w:br w:type="page"/>
      </w:r>
    </w:p>
    <w:p>
      <w:pPr>
        <w:pStyle w:val="15"/>
        <w:numPr>
          <w:ilvl w:val="0"/>
          <w:numId w:val="2"/>
        </w:numPr>
        <w:outlineLvl w:val="9"/>
        <w:rPr>
          <w:sz w:val="24"/>
          <w:szCs w:val="24"/>
        </w:rPr>
      </w:pPr>
      <w:bookmarkStart w:id="35" w:name="_Toc53924856"/>
      <w:r>
        <w:rPr>
          <w:rFonts w:hint="eastAsia"/>
          <w:sz w:val="24"/>
          <w:szCs w:val="24"/>
        </w:rPr>
        <w:t>奖助列表</w:t>
      </w:r>
      <w:bookmarkEnd w:id="26"/>
      <w:bookmarkEnd w:id="27"/>
      <w:bookmarkEnd w:id="28"/>
      <w:bookmarkEnd w:id="29"/>
      <w:bookmarkEnd w:id="30"/>
      <w:bookmarkEnd w:id="35"/>
    </w:p>
    <w:p>
      <w:pPr>
        <w:rPr>
          <w:sz w:val="24"/>
          <w:szCs w:val="24"/>
        </w:rPr>
      </w:pPr>
      <w:bookmarkStart w:id="36" w:name="_Toc19041"/>
      <w:r>
        <w:rPr>
          <w:rFonts w:hint="eastAsia"/>
          <w:sz w:val="24"/>
          <w:szCs w:val="24"/>
        </w:rPr>
        <w:t>奖助列表中展示了学校当前所有的奖助信息。</w:t>
      </w:r>
    </w:p>
    <w:p>
      <w:pPr>
        <w:pStyle w:val="16"/>
        <w:numPr>
          <w:ilvl w:val="1"/>
          <w:numId w:val="2"/>
        </w:numPr>
        <w:outlineLvl w:val="9"/>
        <w:rPr>
          <w:sz w:val="24"/>
          <w:szCs w:val="24"/>
        </w:rPr>
      </w:pPr>
      <w:bookmarkStart w:id="37" w:name="_Toc53501724"/>
      <w:bookmarkStart w:id="38" w:name="_Toc53502220"/>
      <w:bookmarkStart w:id="39" w:name="_Toc53924857"/>
      <w:bookmarkStart w:id="40" w:name="_Toc53620641"/>
      <w:bookmarkStart w:id="41" w:name="_Toc53501748"/>
      <w:r>
        <w:rPr>
          <w:rFonts w:hint="eastAsia"/>
          <w:sz w:val="24"/>
          <w:szCs w:val="24"/>
        </w:rPr>
        <w:t>查看奖助</w:t>
      </w:r>
      <w:bookmarkEnd w:id="36"/>
      <w:r>
        <w:rPr>
          <w:rFonts w:hint="eastAsia"/>
          <w:sz w:val="24"/>
          <w:szCs w:val="24"/>
        </w:rPr>
        <w:t>信息</w:t>
      </w:r>
      <w:bookmarkEnd w:id="37"/>
      <w:bookmarkEnd w:id="38"/>
      <w:bookmarkEnd w:id="39"/>
      <w:bookmarkEnd w:id="40"/>
      <w:bookmarkEnd w:id="41"/>
    </w:p>
    <w:p>
      <w:pPr>
        <w:rPr>
          <w:sz w:val="24"/>
          <w:szCs w:val="24"/>
        </w:rPr>
      </w:pPr>
      <w:bookmarkStart w:id="42" w:name="_Hlk53582408"/>
      <w:r>
        <w:rPr>
          <w:rFonts w:hint="eastAsia"/>
          <w:sz w:val="24"/>
          <w:szCs w:val="24"/>
        </w:rPr>
        <w:t>展开“奖助信息管理”</w:t>
      </w:r>
      <w:bookmarkEnd w:id="42"/>
      <w:bookmarkStart w:id="43" w:name="_Hlk53582425"/>
      <w:r>
        <w:rPr>
          <w:rFonts w:hint="eastAsia"/>
          <w:sz w:val="24"/>
          <w:szCs w:val="24"/>
        </w:rPr>
        <w:t>，点击“基本信息”子菜单</w:t>
      </w:r>
      <w:bookmarkEnd w:id="43"/>
      <w:r>
        <w:rPr>
          <w:rFonts w:hint="eastAsia"/>
          <w:sz w:val="24"/>
          <w:szCs w:val="24"/>
        </w:rPr>
        <w:t>，进入“奖助列表”页面（图2.</w:t>
      </w:r>
      <w:r>
        <w:rPr>
          <w:sz w:val="24"/>
          <w:szCs w:val="24"/>
        </w:rPr>
        <w:t>1）</w:t>
      </w:r>
      <w:r>
        <w:rPr>
          <w:rFonts w:hint="eastAsia"/>
          <w:sz w:val="24"/>
          <w:szCs w:val="24"/>
        </w:rPr>
        <w:t>。</w:t>
      </w:r>
    </w:p>
    <w:p>
      <w:pPr>
        <w:jc w:val="center"/>
        <w:rPr>
          <w:sz w:val="24"/>
          <w:szCs w:val="24"/>
        </w:rPr>
      </w:pPr>
      <w:r>
        <w:rPr>
          <w:sz w:val="24"/>
          <w:szCs w:val="24"/>
        </w:rPr>
        <w:drawing>
          <wp:inline distT="0" distB="0" distL="0" distR="0">
            <wp:extent cx="5274310" cy="2613660"/>
            <wp:effectExtent l="0" t="0" r="2540" b="1524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18"/>
                    <a:stretch>
                      <a:fillRect/>
                    </a:stretch>
                  </pic:blipFill>
                  <pic:spPr>
                    <a:xfrm>
                      <a:off x="0" y="0"/>
                      <a:ext cx="5274310" cy="2613660"/>
                    </a:xfrm>
                    <a:prstGeom prst="rect">
                      <a:avLst/>
                    </a:prstGeom>
                  </pic:spPr>
                </pic:pic>
              </a:graphicData>
            </a:graphic>
          </wp:inline>
        </w:drawing>
      </w:r>
    </w:p>
    <w:p>
      <w:pPr>
        <w:jc w:val="center"/>
        <w:rPr>
          <w:sz w:val="24"/>
          <w:szCs w:val="24"/>
        </w:rPr>
      </w:pPr>
      <w:r>
        <w:rPr>
          <w:rFonts w:hint="eastAsia"/>
          <w:sz w:val="24"/>
          <w:szCs w:val="24"/>
        </w:rPr>
        <w:t>图2.1</w:t>
      </w:r>
    </w:p>
    <w:p>
      <w:pPr>
        <w:rPr>
          <w:sz w:val="24"/>
          <w:szCs w:val="24"/>
        </w:rPr>
      </w:pPr>
      <w:r>
        <w:rPr>
          <w:rFonts w:hint="eastAsia"/>
          <w:sz w:val="24"/>
          <w:szCs w:val="24"/>
        </w:rPr>
        <w:t>在登陆后的首页点击“奖助管理”（图2</w:t>
      </w:r>
      <w:r>
        <w:rPr>
          <w:sz w:val="24"/>
          <w:szCs w:val="24"/>
        </w:rPr>
        <w:t>.2）</w:t>
      </w:r>
      <w:r>
        <w:rPr>
          <w:rFonts w:hint="eastAsia"/>
          <w:sz w:val="24"/>
          <w:szCs w:val="24"/>
        </w:rPr>
        <w:t>，也可快速进入“奖助列表”页面</w:t>
      </w:r>
      <w:r>
        <w:rPr>
          <w:sz w:val="24"/>
          <w:szCs w:val="24"/>
        </w:rPr>
        <w:t>（</w:t>
      </w:r>
      <w:r>
        <w:rPr>
          <w:rFonts w:hint="eastAsia"/>
          <w:sz w:val="24"/>
          <w:szCs w:val="24"/>
        </w:rPr>
        <w:t>图2</w:t>
      </w:r>
      <w:r>
        <w:rPr>
          <w:sz w:val="24"/>
          <w:szCs w:val="24"/>
        </w:rPr>
        <w:t>.2）</w:t>
      </w:r>
      <w:r>
        <w:rPr>
          <w:rFonts w:hint="eastAsia"/>
          <w:sz w:val="24"/>
          <w:szCs w:val="24"/>
        </w:rPr>
        <w:t>。</w:t>
      </w:r>
    </w:p>
    <w:p>
      <w:pPr>
        <w:jc w:val="center"/>
        <w:rPr>
          <w:sz w:val="24"/>
          <w:szCs w:val="24"/>
        </w:rPr>
      </w:pPr>
      <w:r>
        <w:rPr>
          <w:sz w:val="24"/>
          <w:szCs w:val="24"/>
        </w:rPr>
        <w:drawing>
          <wp:inline distT="0" distB="0" distL="0" distR="0">
            <wp:extent cx="5274310" cy="2563495"/>
            <wp:effectExtent l="0" t="0" r="2540" b="825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317519" cy="2585042"/>
                    </a:xfrm>
                    <a:prstGeom prst="rect">
                      <a:avLst/>
                    </a:prstGeom>
                    <a:noFill/>
                    <a:ln>
                      <a:noFill/>
                    </a:ln>
                  </pic:spPr>
                </pic:pic>
              </a:graphicData>
            </a:graphic>
          </wp:inline>
        </w:drawing>
      </w:r>
    </w:p>
    <w:p>
      <w:pPr>
        <w:jc w:val="center"/>
        <w:rPr>
          <w:sz w:val="24"/>
          <w:szCs w:val="24"/>
        </w:rPr>
      </w:pPr>
      <w:r>
        <w:rPr>
          <w:rFonts w:hint="eastAsia"/>
          <w:sz w:val="24"/>
          <w:szCs w:val="24"/>
        </w:rPr>
        <w:t>图2</w:t>
      </w:r>
      <w:r>
        <w:rPr>
          <w:sz w:val="24"/>
          <w:szCs w:val="24"/>
        </w:rPr>
        <w:t>.2</w:t>
      </w:r>
    </w:p>
    <w:p>
      <w:pPr>
        <w:widowControl/>
        <w:jc w:val="left"/>
        <w:rPr>
          <w:sz w:val="24"/>
          <w:szCs w:val="24"/>
        </w:rPr>
      </w:pPr>
      <w:r>
        <w:rPr>
          <w:sz w:val="24"/>
          <w:szCs w:val="24"/>
        </w:rPr>
        <w:br w:type="page"/>
      </w:r>
    </w:p>
    <w:p>
      <w:pPr>
        <w:pStyle w:val="16"/>
        <w:numPr>
          <w:ilvl w:val="1"/>
          <w:numId w:val="2"/>
        </w:numPr>
        <w:outlineLvl w:val="9"/>
        <w:rPr>
          <w:sz w:val="24"/>
          <w:szCs w:val="24"/>
        </w:rPr>
      </w:pPr>
      <w:bookmarkStart w:id="44" w:name="_Toc53502221"/>
      <w:bookmarkStart w:id="45" w:name="_Toc53924858"/>
      <w:bookmarkStart w:id="46" w:name="_Toc53620642"/>
      <w:bookmarkStart w:id="47" w:name="_Toc30760"/>
      <w:bookmarkStart w:id="48" w:name="_Toc53501725"/>
      <w:bookmarkStart w:id="49" w:name="_Toc53501749"/>
      <w:r>
        <w:rPr>
          <w:rFonts w:hint="eastAsia"/>
          <w:sz w:val="24"/>
          <w:szCs w:val="24"/>
        </w:rPr>
        <w:t>添加学生</w:t>
      </w:r>
      <w:bookmarkEnd w:id="44"/>
      <w:bookmarkEnd w:id="45"/>
      <w:bookmarkEnd w:id="46"/>
      <w:bookmarkEnd w:id="47"/>
      <w:bookmarkEnd w:id="48"/>
      <w:bookmarkEnd w:id="49"/>
    </w:p>
    <w:p>
      <w:pPr>
        <w:rPr>
          <w:rStyle w:val="12"/>
          <w:i w:val="0"/>
          <w:sz w:val="24"/>
          <w:szCs w:val="24"/>
        </w:rPr>
      </w:pPr>
      <w:r>
        <w:rPr>
          <w:rStyle w:val="12"/>
          <w:rFonts w:hint="eastAsia"/>
          <w:i w:val="0"/>
          <w:sz w:val="24"/>
          <w:szCs w:val="24"/>
        </w:rPr>
        <w:t>系统允许院系管理员手动为学生申请奖助，具体操作如下：</w:t>
      </w:r>
    </w:p>
    <w:p>
      <w:pPr>
        <w:pStyle w:val="17"/>
        <w:numPr>
          <w:ilvl w:val="0"/>
          <w:numId w:val="4"/>
        </w:numPr>
        <w:ind w:firstLineChars="0"/>
        <w:rPr>
          <w:rStyle w:val="12"/>
          <w:i w:val="0"/>
          <w:sz w:val="24"/>
          <w:szCs w:val="24"/>
        </w:rPr>
      </w:pPr>
      <w:r>
        <w:rPr>
          <w:rStyle w:val="12"/>
          <w:rFonts w:hint="eastAsia"/>
          <w:i w:val="0"/>
          <w:sz w:val="24"/>
          <w:szCs w:val="24"/>
        </w:rPr>
        <w:t>点击“添加学生”（图2.</w:t>
      </w:r>
      <w:r>
        <w:rPr>
          <w:rStyle w:val="12"/>
          <w:i w:val="0"/>
          <w:sz w:val="24"/>
          <w:szCs w:val="24"/>
        </w:rPr>
        <w:t>3</w:t>
      </w:r>
      <w:r>
        <w:rPr>
          <w:rStyle w:val="12"/>
          <w:rFonts w:hint="eastAsia"/>
          <w:i w:val="0"/>
          <w:sz w:val="24"/>
          <w:szCs w:val="24"/>
        </w:rPr>
        <w:t>）。</w:t>
      </w:r>
    </w:p>
    <w:p>
      <w:pPr>
        <w:pStyle w:val="17"/>
        <w:numPr>
          <w:ilvl w:val="0"/>
          <w:numId w:val="4"/>
        </w:numPr>
        <w:ind w:firstLineChars="0"/>
        <w:rPr>
          <w:rStyle w:val="12"/>
          <w:i w:val="0"/>
          <w:sz w:val="24"/>
          <w:szCs w:val="24"/>
        </w:rPr>
      </w:pPr>
      <w:r>
        <w:rPr>
          <w:rStyle w:val="12"/>
          <w:rFonts w:hint="eastAsia"/>
          <w:i w:val="0"/>
          <w:sz w:val="24"/>
          <w:szCs w:val="24"/>
        </w:rPr>
        <w:t>输入学生完整学号后点击“搜索”（图2.</w:t>
      </w:r>
      <w:r>
        <w:rPr>
          <w:rStyle w:val="12"/>
          <w:i w:val="0"/>
          <w:sz w:val="24"/>
          <w:szCs w:val="24"/>
        </w:rPr>
        <w:t>4</w:t>
      </w:r>
      <w:r>
        <w:rPr>
          <w:rStyle w:val="12"/>
          <w:rFonts w:hint="eastAsia"/>
          <w:i w:val="0"/>
          <w:sz w:val="24"/>
          <w:szCs w:val="24"/>
        </w:rPr>
        <w:t>）。</w:t>
      </w:r>
    </w:p>
    <w:p>
      <w:pPr>
        <w:pStyle w:val="17"/>
        <w:numPr>
          <w:ilvl w:val="0"/>
          <w:numId w:val="4"/>
        </w:numPr>
        <w:ind w:firstLineChars="0"/>
        <w:rPr>
          <w:rStyle w:val="12"/>
          <w:i w:val="0"/>
          <w:sz w:val="24"/>
          <w:szCs w:val="24"/>
        </w:rPr>
      </w:pPr>
      <w:r>
        <w:rPr>
          <w:rStyle w:val="12"/>
          <w:rFonts w:hint="eastAsia"/>
          <w:i w:val="0"/>
          <w:sz w:val="24"/>
          <w:szCs w:val="24"/>
        </w:rPr>
        <w:t>确认信息准确无误后，点击“确认”即可。</w:t>
      </w:r>
    </w:p>
    <w:p>
      <w:pPr>
        <w:jc w:val="center"/>
        <w:rPr>
          <w:rStyle w:val="12"/>
          <w:i w:val="0"/>
          <w:sz w:val="24"/>
          <w:szCs w:val="24"/>
        </w:rPr>
      </w:pPr>
      <w:r>
        <w:rPr>
          <w:rStyle w:val="12"/>
          <w:i w:val="0"/>
          <w:sz w:val="24"/>
          <w:szCs w:val="24"/>
        </w:rPr>
        <w:drawing>
          <wp:inline distT="0" distB="0" distL="0" distR="0">
            <wp:extent cx="5257800" cy="2575560"/>
            <wp:effectExtent l="0" t="0" r="0" b="1524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331083" cy="2612048"/>
                    </a:xfrm>
                    <a:prstGeom prst="rect">
                      <a:avLst/>
                    </a:prstGeom>
                    <a:noFill/>
                    <a:ln>
                      <a:noFill/>
                    </a:ln>
                  </pic:spPr>
                </pic:pic>
              </a:graphicData>
            </a:graphic>
          </wp:inline>
        </w:drawing>
      </w:r>
    </w:p>
    <w:p>
      <w:pPr>
        <w:jc w:val="center"/>
        <w:rPr>
          <w:rStyle w:val="12"/>
          <w:i w:val="0"/>
          <w:sz w:val="24"/>
          <w:szCs w:val="24"/>
        </w:rPr>
      </w:pPr>
      <w:r>
        <w:rPr>
          <w:rStyle w:val="12"/>
          <w:rFonts w:hint="eastAsia"/>
          <w:i w:val="0"/>
          <w:sz w:val="24"/>
          <w:szCs w:val="24"/>
        </w:rPr>
        <w:t>图2.</w:t>
      </w:r>
      <w:r>
        <w:rPr>
          <w:rStyle w:val="12"/>
          <w:i w:val="0"/>
          <w:sz w:val="24"/>
          <w:szCs w:val="24"/>
        </w:rPr>
        <w:t>3</w:t>
      </w:r>
    </w:p>
    <w:p>
      <w:pPr>
        <w:jc w:val="center"/>
        <w:rPr>
          <w:rStyle w:val="12"/>
          <w:i w:val="0"/>
          <w:sz w:val="24"/>
          <w:szCs w:val="24"/>
        </w:rPr>
      </w:pPr>
      <w:r>
        <w:rPr>
          <w:rStyle w:val="12"/>
          <w:i w:val="0"/>
          <w:sz w:val="24"/>
          <w:szCs w:val="24"/>
        </w:rPr>
        <w:drawing>
          <wp:inline distT="0" distB="0" distL="0" distR="0">
            <wp:extent cx="5265420" cy="2569845"/>
            <wp:effectExtent l="0" t="0" r="1143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98154" cy="2585923"/>
                    </a:xfrm>
                    <a:prstGeom prst="rect">
                      <a:avLst/>
                    </a:prstGeom>
                    <a:noFill/>
                    <a:ln>
                      <a:noFill/>
                    </a:ln>
                  </pic:spPr>
                </pic:pic>
              </a:graphicData>
            </a:graphic>
          </wp:inline>
        </w:drawing>
      </w:r>
    </w:p>
    <w:p>
      <w:pPr>
        <w:jc w:val="center"/>
        <w:rPr>
          <w:rStyle w:val="12"/>
          <w:i w:val="0"/>
          <w:sz w:val="24"/>
          <w:szCs w:val="24"/>
        </w:rPr>
      </w:pPr>
      <w:r>
        <w:rPr>
          <w:rStyle w:val="12"/>
          <w:rFonts w:hint="eastAsia"/>
          <w:i w:val="0"/>
          <w:sz w:val="24"/>
          <w:szCs w:val="24"/>
        </w:rPr>
        <w:t>图2.</w:t>
      </w:r>
      <w:r>
        <w:rPr>
          <w:rStyle w:val="12"/>
          <w:i w:val="0"/>
          <w:sz w:val="24"/>
          <w:szCs w:val="24"/>
        </w:rPr>
        <w:t>4</w:t>
      </w:r>
    </w:p>
    <w:p>
      <w:pPr>
        <w:pStyle w:val="15"/>
        <w:numPr>
          <w:ilvl w:val="0"/>
          <w:numId w:val="2"/>
        </w:numPr>
        <w:outlineLvl w:val="9"/>
        <w:rPr>
          <w:sz w:val="24"/>
          <w:szCs w:val="24"/>
        </w:rPr>
      </w:pPr>
      <w:bookmarkStart w:id="50" w:name="_Toc3929"/>
      <w:bookmarkStart w:id="51" w:name="_Toc53501726"/>
      <w:bookmarkStart w:id="52" w:name="_Toc53924859"/>
      <w:bookmarkStart w:id="53" w:name="_Toc53620643"/>
      <w:bookmarkStart w:id="54" w:name="_Toc53501750"/>
      <w:bookmarkStart w:id="55" w:name="_Toc53502222"/>
      <w:r>
        <w:rPr>
          <w:rFonts w:hint="eastAsia"/>
          <w:sz w:val="24"/>
          <w:szCs w:val="24"/>
        </w:rPr>
        <w:t>奖助审批</w:t>
      </w:r>
      <w:bookmarkEnd w:id="50"/>
      <w:bookmarkEnd w:id="51"/>
      <w:bookmarkEnd w:id="52"/>
      <w:bookmarkEnd w:id="53"/>
      <w:bookmarkEnd w:id="54"/>
      <w:bookmarkEnd w:id="55"/>
      <w:bookmarkStart w:id="56" w:name="_Toc6055"/>
    </w:p>
    <w:p>
      <w:pPr>
        <w:pStyle w:val="16"/>
        <w:numPr>
          <w:ilvl w:val="1"/>
          <w:numId w:val="2"/>
        </w:numPr>
        <w:outlineLvl w:val="9"/>
        <w:rPr>
          <w:sz w:val="24"/>
          <w:szCs w:val="24"/>
        </w:rPr>
      </w:pPr>
      <w:bookmarkStart w:id="57" w:name="_Toc53924860"/>
      <w:bookmarkStart w:id="58" w:name="_Toc53620644"/>
      <w:bookmarkStart w:id="59" w:name="_Toc53501727"/>
      <w:bookmarkStart w:id="60" w:name="_Toc53501751"/>
      <w:bookmarkStart w:id="61" w:name="_Toc53502223"/>
      <w:r>
        <w:rPr>
          <w:rFonts w:hint="eastAsia"/>
          <w:sz w:val="24"/>
          <w:szCs w:val="24"/>
        </w:rPr>
        <w:t>一般审批</w:t>
      </w:r>
      <w:bookmarkEnd w:id="56"/>
      <w:bookmarkEnd w:id="57"/>
      <w:bookmarkEnd w:id="58"/>
      <w:bookmarkEnd w:id="59"/>
      <w:bookmarkEnd w:id="60"/>
      <w:bookmarkEnd w:id="61"/>
    </w:p>
    <w:p>
      <w:pPr>
        <w:rPr>
          <w:sz w:val="24"/>
          <w:szCs w:val="24"/>
        </w:rPr>
      </w:pPr>
      <w:r>
        <w:rPr>
          <w:rFonts w:hint="eastAsia"/>
          <w:sz w:val="24"/>
          <w:szCs w:val="24"/>
        </w:rPr>
        <w:t>在左侧“奖助信息管理”一栏中，点击“奖助审批”（图3.1），列表中展示了申请该院系奖助的申请信息，包括申请人、申请奖助名称、奖助审批状态等。</w:t>
      </w:r>
    </w:p>
    <w:p>
      <w:pPr>
        <w:jc w:val="center"/>
        <w:rPr>
          <w:sz w:val="24"/>
          <w:szCs w:val="24"/>
        </w:rPr>
      </w:pPr>
      <w:r>
        <w:rPr>
          <w:sz w:val="24"/>
          <w:szCs w:val="24"/>
        </w:rPr>
        <w:drawing>
          <wp:inline distT="0" distB="0" distL="0" distR="0">
            <wp:extent cx="5260975" cy="2576830"/>
            <wp:effectExtent l="0" t="0" r="15875" b="1397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61040" cy="2577440"/>
                    </a:xfrm>
                    <a:prstGeom prst="rect">
                      <a:avLst/>
                    </a:prstGeom>
                    <a:noFill/>
                    <a:ln>
                      <a:noFill/>
                    </a:ln>
                  </pic:spPr>
                </pic:pic>
              </a:graphicData>
            </a:graphic>
          </wp:inline>
        </w:drawing>
      </w:r>
    </w:p>
    <w:p>
      <w:pPr>
        <w:jc w:val="center"/>
        <w:rPr>
          <w:sz w:val="24"/>
          <w:szCs w:val="24"/>
        </w:rPr>
      </w:pPr>
      <w:r>
        <w:rPr>
          <w:rFonts w:hint="eastAsia"/>
          <w:sz w:val="24"/>
          <w:szCs w:val="24"/>
        </w:rPr>
        <w:t>图3.1</w:t>
      </w:r>
    </w:p>
    <w:p>
      <w:pPr>
        <w:widowControl/>
        <w:jc w:val="left"/>
        <w:rPr>
          <w:sz w:val="24"/>
          <w:szCs w:val="24"/>
        </w:rPr>
      </w:pPr>
      <w:r>
        <w:rPr>
          <w:sz w:val="24"/>
          <w:szCs w:val="24"/>
        </w:rPr>
        <w:br w:type="page"/>
      </w:r>
    </w:p>
    <w:p>
      <w:pPr>
        <w:rPr>
          <w:sz w:val="24"/>
          <w:szCs w:val="24"/>
        </w:rPr>
      </w:pPr>
      <w:r>
        <w:rPr>
          <w:rFonts w:hint="eastAsia"/>
          <w:sz w:val="24"/>
          <w:szCs w:val="24"/>
        </w:rPr>
        <w:t>管理员可通过“批量通过”、“批量退回学生”、“批量拒绝”来对选中的一个或多个奖助申请进行操作，以“批量通过”为例，具体步骤如下：</w:t>
      </w:r>
    </w:p>
    <w:p>
      <w:pPr>
        <w:pStyle w:val="17"/>
        <w:numPr>
          <w:ilvl w:val="0"/>
          <w:numId w:val="5"/>
        </w:numPr>
        <w:ind w:firstLineChars="0"/>
        <w:rPr>
          <w:sz w:val="24"/>
          <w:szCs w:val="24"/>
        </w:rPr>
      </w:pPr>
      <w:r>
        <w:rPr>
          <w:rFonts w:hint="eastAsia"/>
          <w:sz w:val="24"/>
          <w:szCs w:val="24"/>
        </w:rPr>
        <w:t>选择欲操作的奖助申请记录（图3.</w:t>
      </w:r>
      <w:r>
        <w:rPr>
          <w:sz w:val="24"/>
          <w:szCs w:val="24"/>
        </w:rPr>
        <w:t>2</w:t>
      </w:r>
      <w:r>
        <w:rPr>
          <w:rFonts w:hint="eastAsia"/>
          <w:sz w:val="24"/>
          <w:szCs w:val="24"/>
        </w:rPr>
        <w:t>）。</w:t>
      </w:r>
    </w:p>
    <w:p>
      <w:pPr>
        <w:pStyle w:val="17"/>
        <w:numPr>
          <w:ilvl w:val="0"/>
          <w:numId w:val="5"/>
        </w:numPr>
        <w:ind w:firstLineChars="0"/>
        <w:rPr>
          <w:sz w:val="24"/>
          <w:szCs w:val="24"/>
        </w:rPr>
      </w:pPr>
      <w:r>
        <w:rPr>
          <w:rFonts w:hint="eastAsia"/>
          <w:sz w:val="24"/>
          <w:szCs w:val="24"/>
        </w:rPr>
        <w:t>点击“批量通过”（图3.2）。</w:t>
      </w:r>
    </w:p>
    <w:p>
      <w:pPr>
        <w:pStyle w:val="17"/>
        <w:numPr>
          <w:ilvl w:val="0"/>
          <w:numId w:val="5"/>
        </w:numPr>
        <w:ind w:firstLineChars="0"/>
        <w:rPr>
          <w:sz w:val="24"/>
          <w:szCs w:val="24"/>
        </w:rPr>
      </w:pPr>
      <w:r>
        <w:rPr>
          <w:rFonts w:hint="eastAsia"/>
          <w:sz w:val="24"/>
          <w:szCs w:val="24"/>
        </w:rPr>
        <w:t>点击“确定”（图3.3）。</w:t>
      </w:r>
    </w:p>
    <w:p>
      <w:pPr>
        <w:jc w:val="center"/>
        <w:rPr>
          <w:sz w:val="24"/>
          <w:szCs w:val="24"/>
        </w:rPr>
      </w:pPr>
      <w:r>
        <w:rPr>
          <w:sz w:val="24"/>
          <w:szCs w:val="24"/>
        </w:rPr>
        <w:drawing>
          <wp:inline distT="0" distB="0" distL="0" distR="0">
            <wp:extent cx="5257165" cy="2575560"/>
            <wp:effectExtent l="0" t="0" r="635" b="1524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75134" cy="2584346"/>
                    </a:xfrm>
                    <a:prstGeom prst="rect">
                      <a:avLst/>
                    </a:prstGeom>
                    <a:noFill/>
                    <a:ln>
                      <a:noFill/>
                    </a:ln>
                  </pic:spPr>
                </pic:pic>
              </a:graphicData>
            </a:graphic>
          </wp:inline>
        </w:drawing>
      </w:r>
    </w:p>
    <w:p>
      <w:pPr>
        <w:jc w:val="center"/>
        <w:rPr>
          <w:sz w:val="24"/>
          <w:szCs w:val="24"/>
        </w:rPr>
      </w:pPr>
      <w:r>
        <w:rPr>
          <w:rFonts w:hint="eastAsia"/>
          <w:sz w:val="24"/>
          <w:szCs w:val="24"/>
        </w:rPr>
        <w:t>图3.2</w:t>
      </w:r>
    </w:p>
    <w:p>
      <w:pPr>
        <w:jc w:val="center"/>
        <w:rPr>
          <w:sz w:val="24"/>
          <w:szCs w:val="24"/>
        </w:rPr>
      </w:pPr>
      <w:r>
        <w:rPr>
          <w:sz w:val="24"/>
          <w:szCs w:val="24"/>
        </w:rPr>
        <w:drawing>
          <wp:inline distT="0" distB="0" distL="0" distR="0">
            <wp:extent cx="5257165" cy="2565400"/>
            <wp:effectExtent l="0" t="0" r="635" b="635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84209" cy="2578886"/>
                    </a:xfrm>
                    <a:prstGeom prst="rect">
                      <a:avLst/>
                    </a:prstGeom>
                    <a:noFill/>
                    <a:ln>
                      <a:noFill/>
                    </a:ln>
                  </pic:spPr>
                </pic:pic>
              </a:graphicData>
            </a:graphic>
          </wp:inline>
        </w:drawing>
      </w:r>
    </w:p>
    <w:p>
      <w:pPr>
        <w:jc w:val="center"/>
        <w:rPr>
          <w:sz w:val="24"/>
          <w:szCs w:val="24"/>
        </w:rPr>
      </w:pPr>
      <w:r>
        <w:rPr>
          <w:rFonts w:hint="eastAsia"/>
          <w:sz w:val="24"/>
          <w:szCs w:val="24"/>
        </w:rPr>
        <w:t>图3.3</w:t>
      </w:r>
    </w:p>
    <w:p>
      <w:pPr>
        <w:widowControl/>
        <w:jc w:val="left"/>
        <w:rPr>
          <w:sz w:val="24"/>
          <w:szCs w:val="24"/>
        </w:rPr>
      </w:pPr>
      <w:r>
        <w:rPr>
          <w:sz w:val="24"/>
          <w:szCs w:val="24"/>
        </w:rPr>
        <w:br w:type="page"/>
      </w:r>
    </w:p>
    <w:p>
      <w:pPr>
        <w:rPr>
          <w:sz w:val="24"/>
          <w:szCs w:val="24"/>
        </w:rPr>
      </w:pPr>
      <w:r>
        <w:rPr>
          <w:rFonts w:hint="eastAsia"/>
          <w:sz w:val="24"/>
          <w:szCs w:val="24"/>
        </w:rPr>
        <w:t>管理员可以查看申请记录的学生申请表以及审批进度，点击对应记录右侧的“申请表”可进入申请表详情页面，点击“审批进度”可查看奖助审批当前进度（图3.</w:t>
      </w:r>
      <w:r>
        <w:rPr>
          <w:sz w:val="24"/>
          <w:szCs w:val="24"/>
        </w:rPr>
        <w:t>4</w:t>
      </w:r>
      <w:r>
        <w:rPr>
          <w:rFonts w:hint="eastAsia"/>
          <w:sz w:val="24"/>
          <w:szCs w:val="24"/>
        </w:rPr>
        <w:t>）。</w:t>
      </w:r>
    </w:p>
    <w:p>
      <w:pPr>
        <w:jc w:val="center"/>
        <w:rPr>
          <w:sz w:val="24"/>
          <w:szCs w:val="24"/>
        </w:rPr>
      </w:pPr>
      <w:r>
        <w:rPr>
          <w:sz w:val="24"/>
          <w:szCs w:val="24"/>
        </w:rPr>
        <w:drawing>
          <wp:inline distT="0" distB="0" distL="0" distR="0">
            <wp:extent cx="5260975" cy="2567305"/>
            <wp:effectExtent l="0" t="0" r="15875" b="444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61040" cy="2567703"/>
                    </a:xfrm>
                    <a:prstGeom prst="rect">
                      <a:avLst/>
                    </a:prstGeom>
                    <a:noFill/>
                    <a:ln>
                      <a:noFill/>
                    </a:ln>
                  </pic:spPr>
                </pic:pic>
              </a:graphicData>
            </a:graphic>
          </wp:inline>
        </w:drawing>
      </w:r>
    </w:p>
    <w:p>
      <w:pPr>
        <w:jc w:val="center"/>
        <w:rPr>
          <w:sz w:val="24"/>
          <w:szCs w:val="24"/>
        </w:rPr>
      </w:pPr>
      <w:r>
        <w:rPr>
          <w:rFonts w:hint="eastAsia"/>
          <w:sz w:val="24"/>
          <w:szCs w:val="24"/>
        </w:rPr>
        <w:t>图3.4</w:t>
      </w:r>
    </w:p>
    <w:p>
      <w:pPr>
        <w:rPr>
          <w:sz w:val="24"/>
          <w:szCs w:val="24"/>
        </w:rPr>
      </w:pPr>
      <w:r>
        <w:rPr>
          <w:rFonts w:hint="eastAsia"/>
          <w:sz w:val="24"/>
          <w:szCs w:val="24"/>
        </w:rPr>
        <w:t>管理员可以单独通过学生的申请记录，并对奖项进行修改。具体操作如下：</w:t>
      </w:r>
    </w:p>
    <w:p>
      <w:pPr>
        <w:pStyle w:val="17"/>
        <w:numPr>
          <w:ilvl w:val="0"/>
          <w:numId w:val="6"/>
        </w:numPr>
        <w:ind w:firstLineChars="0"/>
        <w:rPr>
          <w:sz w:val="24"/>
          <w:szCs w:val="24"/>
        </w:rPr>
      </w:pPr>
      <w:r>
        <w:rPr>
          <w:rFonts w:hint="eastAsia"/>
          <w:sz w:val="24"/>
          <w:szCs w:val="24"/>
        </w:rPr>
        <w:t>点击“修改并通过”（图3.5）。</w:t>
      </w:r>
    </w:p>
    <w:p>
      <w:pPr>
        <w:pStyle w:val="17"/>
        <w:numPr>
          <w:ilvl w:val="0"/>
          <w:numId w:val="6"/>
        </w:numPr>
        <w:ind w:firstLineChars="0"/>
        <w:rPr>
          <w:sz w:val="24"/>
          <w:szCs w:val="24"/>
        </w:rPr>
      </w:pPr>
      <w:r>
        <w:rPr>
          <w:rFonts w:hint="eastAsia"/>
          <w:sz w:val="24"/>
          <w:szCs w:val="24"/>
        </w:rPr>
        <w:t>选择要修改的奖项并填写修改金额。（图3.6）</w:t>
      </w:r>
    </w:p>
    <w:p>
      <w:pPr>
        <w:pStyle w:val="17"/>
        <w:numPr>
          <w:ilvl w:val="0"/>
          <w:numId w:val="6"/>
        </w:numPr>
        <w:ind w:firstLineChars="0"/>
        <w:rPr>
          <w:sz w:val="24"/>
          <w:szCs w:val="24"/>
        </w:rPr>
      </w:pPr>
      <w:r>
        <w:rPr>
          <w:rFonts w:hint="eastAsia"/>
          <w:sz w:val="24"/>
          <w:szCs w:val="24"/>
        </w:rPr>
        <w:t>点击“确认”。</w:t>
      </w:r>
    </w:p>
    <w:p>
      <w:pPr>
        <w:rPr>
          <w:sz w:val="24"/>
          <w:szCs w:val="24"/>
        </w:rPr>
      </w:pPr>
      <w:r>
        <w:rPr>
          <w:sz w:val="24"/>
          <w:szCs w:val="24"/>
        </w:rPr>
        <w:drawing>
          <wp:inline distT="0" distB="0" distL="0" distR="0">
            <wp:extent cx="5260975" cy="2567305"/>
            <wp:effectExtent l="0" t="0" r="15875" b="444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61040" cy="2567495"/>
                    </a:xfrm>
                    <a:prstGeom prst="rect">
                      <a:avLst/>
                    </a:prstGeom>
                    <a:noFill/>
                    <a:ln>
                      <a:noFill/>
                    </a:ln>
                  </pic:spPr>
                </pic:pic>
              </a:graphicData>
            </a:graphic>
          </wp:inline>
        </w:drawing>
      </w:r>
    </w:p>
    <w:p>
      <w:pPr>
        <w:jc w:val="center"/>
        <w:rPr>
          <w:sz w:val="24"/>
          <w:szCs w:val="24"/>
        </w:rPr>
      </w:pPr>
      <w:r>
        <w:rPr>
          <w:rFonts w:hint="eastAsia"/>
          <w:sz w:val="24"/>
          <w:szCs w:val="24"/>
        </w:rPr>
        <w:t>图3.5</w:t>
      </w:r>
    </w:p>
    <w:p>
      <w:pPr>
        <w:jc w:val="center"/>
        <w:rPr>
          <w:sz w:val="24"/>
          <w:szCs w:val="24"/>
        </w:rPr>
      </w:pPr>
      <w:r>
        <w:rPr>
          <w:sz w:val="24"/>
          <w:szCs w:val="24"/>
        </w:rPr>
        <w:drawing>
          <wp:inline distT="0" distB="0" distL="0" distR="0">
            <wp:extent cx="5260975" cy="2567305"/>
            <wp:effectExtent l="0" t="0" r="15875" b="444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61040" cy="2567495"/>
                    </a:xfrm>
                    <a:prstGeom prst="rect">
                      <a:avLst/>
                    </a:prstGeom>
                    <a:noFill/>
                    <a:ln>
                      <a:noFill/>
                    </a:ln>
                  </pic:spPr>
                </pic:pic>
              </a:graphicData>
            </a:graphic>
          </wp:inline>
        </w:drawing>
      </w:r>
    </w:p>
    <w:p>
      <w:pPr>
        <w:jc w:val="center"/>
        <w:rPr>
          <w:sz w:val="24"/>
          <w:szCs w:val="24"/>
        </w:rPr>
      </w:pPr>
      <w:r>
        <w:rPr>
          <w:rFonts w:hint="eastAsia"/>
          <w:sz w:val="24"/>
          <w:szCs w:val="24"/>
        </w:rPr>
        <w:t>图3.6</w:t>
      </w:r>
    </w:p>
    <w:p>
      <w:pPr>
        <w:pStyle w:val="16"/>
        <w:numPr>
          <w:ilvl w:val="1"/>
          <w:numId w:val="2"/>
        </w:numPr>
        <w:outlineLvl w:val="9"/>
        <w:rPr>
          <w:sz w:val="24"/>
          <w:szCs w:val="24"/>
        </w:rPr>
      </w:pPr>
      <w:bookmarkStart w:id="62" w:name="_Toc53620645"/>
      <w:bookmarkStart w:id="63" w:name="_Toc53924861"/>
      <w:r>
        <w:rPr>
          <w:rFonts w:hint="eastAsia"/>
          <w:sz w:val="24"/>
          <w:szCs w:val="24"/>
        </w:rPr>
        <w:t>查看奖助申请表</w:t>
      </w:r>
      <w:bookmarkEnd w:id="62"/>
      <w:bookmarkEnd w:id="63"/>
    </w:p>
    <w:p>
      <w:pPr>
        <w:rPr>
          <w:sz w:val="24"/>
          <w:szCs w:val="24"/>
        </w:rPr>
      </w:pPr>
      <w:r>
        <w:rPr>
          <w:rFonts w:hint="eastAsia"/>
          <w:sz w:val="24"/>
          <w:szCs w:val="24"/>
        </w:rPr>
        <w:t>管理员可以查看申请人提交的奖助申请表，同时可以进行“打印”、“通过”、“退回学生”等后续操作（图3</w:t>
      </w:r>
      <w:r>
        <w:rPr>
          <w:sz w:val="24"/>
          <w:szCs w:val="24"/>
        </w:rPr>
        <w:t>.7</w:t>
      </w:r>
      <w:r>
        <w:rPr>
          <w:rFonts w:hint="eastAsia"/>
          <w:sz w:val="24"/>
          <w:szCs w:val="24"/>
        </w:rPr>
        <w:t>）。</w:t>
      </w:r>
    </w:p>
    <w:p>
      <w:pPr>
        <w:jc w:val="center"/>
        <w:rPr>
          <w:sz w:val="24"/>
          <w:szCs w:val="24"/>
        </w:rPr>
      </w:pPr>
      <w:r>
        <w:rPr>
          <w:sz w:val="24"/>
          <w:szCs w:val="24"/>
        </w:rPr>
        <w:drawing>
          <wp:inline distT="0" distB="0" distL="0" distR="0">
            <wp:extent cx="5260975" cy="2566670"/>
            <wp:effectExtent l="0" t="0" r="15875" b="508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261040" cy="2567180"/>
                    </a:xfrm>
                    <a:prstGeom prst="rect">
                      <a:avLst/>
                    </a:prstGeom>
                    <a:noFill/>
                    <a:ln>
                      <a:noFill/>
                    </a:ln>
                  </pic:spPr>
                </pic:pic>
              </a:graphicData>
            </a:graphic>
          </wp:inline>
        </w:drawing>
      </w:r>
    </w:p>
    <w:p>
      <w:pPr>
        <w:jc w:val="center"/>
        <w:rPr>
          <w:sz w:val="24"/>
          <w:szCs w:val="24"/>
        </w:rPr>
      </w:pPr>
      <w:r>
        <w:rPr>
          <w:rFonts w:hint="eastAsia"/>
          <w:sz w:val="24"/>
          <w:szCs w:val="24"/>
        </w:rPr>
        <w:t>图3.</w:t>
      </w:r>
      <w:r>
        <w:rPr>
          <w:sz w:val="24"/>
          <w:szCs w:val="24"/>
        </w:rPr>
        <w:t>7</w:t>
      </w:r>
    </w:p>
    <w:p>
      <w:pPr>
        <w:widowControl/>
        <w:jc w:val="left"/>
        <w:rPr>
          <w:sz w:val="24"/>
          <w:szCs w:val="24"/>
        </w:rPr>
      </w:pPr>
      <w:r>
        <w:rPr>
          <w:sz w:val="24"/>
          <w:szCs w:val="24"/>
        </w:rPr>
        <w:br w:type="page"/>
      </w:r>
    </w:p>
    <w:p>
      <w:pPr>
        <w:rPr>
          <w:sz w:val="24"/>
          <w:szCs w:val="24"/>
        </w:rPr>
      </w:pPr>
      <w:r>
        <w:rPr>
          <w:rFonts w:hint="eastAsia"/>
          <w:sz w:val="24"/>
          <w:szCs w:val="24"/>
        </w:rPr>
        <w:t>点击“打印”按钮可以直接调用网络中的打印机打印申请表格（图</w:t>
      </w:r>
      <w:r>
        <w:rPr>
          <w:sz w:val="24"/>
          <w:szCs w:val="24"/>
        </w:rPr>
        <w:t>3.8</w:t>
      </w:r>
      <w:r>
        <w:rPr>
          <w:rFonts w:hint="eastAsia"/>
          <w:sz w:val="24"/>
          <w:szCs w:val="24"/>
        </w:rPr>
        <w:t>），建议将打印比例自定义调整为</w:t>
      </w:r>
      <w:r>
        <w:rPr>
          <w:sz w:val="24"/>
          <w:szCs w:val="24"/>
        </w:rPr>
        <w:t>80</w:t>
      </w:r>
      <w:r>
        <w:rPr>
          <w:rFonts w:hint="eastAsia"/>
          <w:sz w:val="24"/>
          <w:szCs w:val="24"/>
        </w:rPr>
        <w:t>。</w:t>
      </w:r>
    </w:p>
    <w:p>
      <w:pPr>
        <w:jc w:val="center"/>
        <w:rPr>
          <w:sz w:val="24"/>
          <w:szCs w:val="24"/>
        </w:rPr>
      </w:pPr>
      <w:r>
        <w:rPr>
          <w:sz w:val="24"/>
          <w:szCs w:val="24"/>
        </w:rPr>
        <w:drawing>
          <wp:inline distT="0" distB="0" distL="114300" distR="114300">
            <wp:extent cx="4183380" cy="2590800"/>
            <wp:effectExtent l="0" t="0" r="7620"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12"/>
                    <a:srcRect l="10416" r="10162"/>
                    <a:stretch>
                      <a:fillRect/>
                    </a:stretch>
                  </pic:blipFill>
                  <pic:spPr>
                    <a:xfrm>
                      <a:off x="0" y="0"/>
                      <a:ext cx="4183380" cy="2590800"/>
                    </a:xfrm>
                    <a:prstGeom prst="rect">
                      <a:avLst/>
                    </a:prstGeom>
                    <a:noFill/>
                    <a:ln>
                      <a:noFill/>
                    </a:ln>
                  </pic:spPr>
                </pic:pic>
              </a:graphicData>
            </a:graphic>
          </wp:inline>
        </w:drawing>
      </w:r>
    </w:p>
    <w:p>
      <w:pPr>
        <w:jc w:val="center"/>
        <w:rPr>
          <w:sz w:val="24"/>
          <w:szCs w:val="24"/>
        </w:rPr>
      </w:pPr>
      <w:r>
        <w:rPr>
          <w:rFonts w:hint="eastAsia"/>
          <w:sz w:val="24"/>
          <w:szCs w:val="24"/>
        </w:rPr>
        <w:t>图</w:t>
      </w:r>
      <w:r>
        <w:rPr>
          <w:sz w:val="24"/>
          <w:szCs w:val="24"/>
        </w:rPr>
        <w:t>3.8</w:t>
      </w:r>
    </w:p>
    <w:p>
      <w:pPr>
        <w:pStyle w:val="16"/>
        <w:numPr>
          <w:ilvl w:val="1"/>
          <w:numId w:val="2"/>
        </w:numPr>
        <w:outlineLvl w:val="9"/>
        <w:rPr>
          <w:sz w:val="24"/>
          <w:szCs w:val="24"/>
        </w:rPr>
      </w:pPr>
      <w:bookmarkStart w:id="64" w:name="_Toc53924862"/>
      <w:bookmarkStart w:id="65" w:name="_Toc53620646"/>
      <w:bookmarkStart w:id="66" w:name="_Toc53501728"/>
      <w:bookmarkStart w:id="67" w:name="_Toc53501752"/>
      <w:bookmarkStart w:id="68" w:name="_Toc18122"/>
      <w:bookmarkStart w:id="69" w:name="_Toc53502224"/>
      <w:r>
        <w:rPr>
          <w:rFonts w:hint="eastAsia"/>
          <w:sz w:val="24"/>
          <w:szCs w:val="24"/>
        </w:rPr>
        <w:t>转专业审批</w:t>
      </w:r>
      <w:bookmarkEnd w:id="64"/>
      <w:bookmarkEnd w:id="65"/>
      <w:bookmarkEnd w:id="66"/>
      <w:bookmarkEnd w:id="67"/>
      <w:bookmarkEnd w:id="68"/>
      <w:bookmarkEnd w:id="69"/>
    </w:p>
    <w:p>
      <w:pPr>
        <w:rPr>
          <w:sz w:val="24"/>
          <w:szCs w:val="24"/>
        </w:rPr>
      </w:pPr>
      <w:r>
        <w:rPr>
          <w:rFonts w:hint="eastAsia"/>
          <w:sz w:val="24"/>
          <w:szCs w:val="24"/>
        </w:rPr>
        <w:t>点击“转专业审批”标签即可查看学生的转专业申请，审批操作和一般审批相同（图3.</w:t>
      </w:r>
      <w:r>
        <w:rPr>
          <w:sz w:val="24"/>
          <w:szCs w:val="24"/>
        </w:rPr>
        <w:t>9</w:t>
      </w:r>
      <w:r>
        <w:rPr>
          <w:rFonts w:hint="eastAsia"/>
          <w:sz w:val="24"/>
          <w:szCs w:val="24"/>
        </w:rPr>
        <w:t>）。</w:t>
      </w:r>
    </w:p>
    <w:p>
      <w:pPr>
        <w:jc w:val="left"/>
        <w:rPr>
          <w:sz w:val="24"/>
          <w:szCs w:val="24"/>
        </w:rPr>
      </w:pPr>
      <w:r>
        <w:rPr>
          <w:sz w:val="24"/>
          <w:szCs w:val="24"/>
        </w:rPr>
        <w:drawing>
          <wp:inline distT="0" distB="0" distL="0" distR="0">
            <wp:extent cx="5260975" cy="2557145"/>
            <wp:effectExtent l="0" t="0" r="15875" b="14605"/>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61040" cy="2557315"/>
                    </a:xfrm>
                    <a:prstGeom prst="rect">
                      <a:avLst/>
                    </a:prstGeom>
                    <a:noFill/>
                    <a:ln>
                      <a:noFill/>
                    </a:ln>
                  </pic:spPr>
                </pic:pic>
              </a:graphicData>
            </a:graphic>
          </wp:inline>
        </w:drawing>
      </w:r>
    </w:p>
    <w:p>
      <w:pPr>
        <w:jc w:val="center"/>
        <w:rPr>
          <w:sz w:val="24"/>
          <w:szCs w:val="24"/>
        </w:rPr>
      </w:pPr>
      <w:r>
        <w:rPr>
          <w:rFonts w:hint="eastAsia"/>
          <w:sz w:val="24"/>
          <w:szCs w:val="24"/>
        </w:rPr>
        <w:t>图3.</w:t>
      </w:r>
      <w:r>
        <w:rPr>
          <w:sz w:val="24"/>
          <w:szCs w:val="24"/>
        </w:rPr>
        <w:t>9</w:t>
      </w:r>
    </w:p>
    <w:p>
      <w:pPr>
        <w:widowControl/>
        <w:jc w:val="left"/>
        <w:rPr>
          <w:sz w:val="24"/>
          <w:szCs w:val="24"/>
        </w:rPr>
      </w:pPr>
      <w:r>
        <w:rPr>
          <w:sz w:val="24"/>
          <w:szCs w:val="24"/>
        </w:rPr>
        <w:br w:type="page"/>
      </w:r>
    </w:p>
    <w:p>
      <w:pPr>
        <w:pStyle w:val="16"/>
        <w:numPr>
          <w:ilvl w:val="1"/>
          <w:numId w:val="2"/>
        </w:numPr>
        <w:outlineLvl w:val="9"/>
        <w:rPr>
          <w:sz w:val="24"/>
          <w:szCs w:val="24"/>
        </w:rPr>
      </w:pPr>
      <w:bookmarkStart w:id="70" w:name="_Toc53501753"/>
      <w:bookmarkStart w:id="71" w:name="_Toc53502225"/>
      <w:bookmarkStart w:id="72" w:name="_Toc3111"/>
      <w:bookmarkStart w:id="73" w:name="_Toc53620647"/>
      <w:bookmarkStart w:id="74" w:name="_Toc53924863"/>
      <w:bookmarkStart w:id="75" w:name="_Toc53501729"/>
      <w:r>
        <w:rPr>
          <w:rFonts w:hint="eastAsia"/>
          <w:sz w:val="24"/>
          <w:szCs w:val="24"/>
        </w:rPr>
        <w:t>审批进展</w:t>
      </w:r>
      <w:bookmarkEnd w:id="70"/>
      <w:bookmarkEnd w:id="71"/>
      <w:bookmarkEnd w:id="72"/>
      <w:bookmarkEnd w:id="73"/>
      <w:bookmarkEnd w:id="74"/>
      <w:bookmarkEnd w:id="75"/>
    </w:p>
    <w:p>
      <w:pPr>
        <w:rPr>
          <w:sz w:val="24"/>
          <w:szCs w:val="24"/>
        </w:rPr>
      </w:pPr>
      <w:r>
        <w:rPr>
          <w:rFonts w:hint="eastAsia"/>
          <w:sz w:val="24"/>
          <w:szCs w:val="24"/>
        </w:rPr>
        <w:t>点击“审批进展”标签即可查看各奖助的审批进展情况，点击“已通过名单”可查看该奖助已经通过申请的学生名单（图3.</w:t>
      </w:r>
      <w:r>
        <w:rPr>
          <w:sz w:val="24"/>
          <w:szCs w:val="24"/>
        </w:rPr>
        <w:t>10</w:t>
      </w:r>
      <w:r>
        <w:rPr>
          <w:rFonts w:hint="eastAsia"/>
          <w:sz w:val="24"/>
          <w:szCs w:val="24"/>
        </w:rPr>
        <w:t>）。</w:t>
      </w:r>
    </w:p>
    <w:p>
      <w:pPr>
        <w:jc w:val="left"/>
        <w:rPr>
          <w:sz w:val="24"/>
          <w:szCs w:val="24"/>
        </w:rPr>
      </w:pPr>
      <w:r>
        <w:rPr>
          <w:sz w:val="24"/>
          <w:szCs w:val="24"/>
        </w:rPr>
        <w:drawing>
          <wp:inline distT="0" distB="0" distL="0" distR="0">
            <wp:extent cx="5260975" cy="2577465"/>
            <wp:effectExtent l="0" t="0" r="15875" b="1333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261040" cy="2577585"/>
                    </a:xfrm>
                    <a:prstGeom prst="rect">
                      <a:avLst/>
                    </a:prstGeom>
                    <a:noFill/>
                    <a:ln>
                      <a:noFill/>
                    </a:ln>
                  </pic:spPr>
                </pic:pic>
              </a:graphicData>
            </a:graphic>
          </wp:inline>
        </w:drawing>
      </w:r>
    </w:p>
    <w:p>
      <w:pPr>
        <w:jc w:val="center"/>
        <w:rPr>
          <w:sz w:val="24"/>
          <w:szCs w:val="24"/>
        </w:rPr>
      </w:pPr>
      <w:r>
        <w:rPr>
          <w:rFonts w:hint="eastAsia"/>
          <w:sz w:val="24"/>
          <w:szCs w:val="24"/>
        </w:rPr>
        <w:t>图3.</w:t>
      </w:r>
      <w:r>
        <w:rPr>
          <w:sz w:val="24"/>
          <w:szCs w:val="24"/>
        </w:rPr>
        <w:t>10</w:t>
      </w:r>
    </w:p>
    <w:p>
      <w:pPr>
        <w:widowControl/>
        <w:jc w:val="left"/>
        <w:rPr>
          <w:sz w:val="24"/>
          <w:szCs w:val="24"/>
        </w:rPr>
      </w:pPr>
      <w:r>
        <w:rPr>
          <w:sz w:val="24"/>
          <w:szCs w:val="24"/>
        </w:rPr>
        <w:br w:type="page"/>
      </w:r>
    </w:p>
    <w:p>
      <w:pPr>
        <w:pStyle w:val="15"/>
        <w:numPr>
          <w:ilvl w:val="0"/>
          <w:numId w:val="2"/>
        </w:numPr>
        <w:outlineLvl w:val="9"/>
        <w:rPr>
          <w:sz w:val="24"/>
          <w:szCs w:val="24"/>
        </w:rPr>
      </w:pPr>
      <w:bookmarkStart w:id="76" w:name="_Toc53501754"/>
      <w:bookmarkStart w:id="77" w:name="_Toc750"/>
      <w:bookmarkStart w:id="78" w:name="_Toc53924864"/>
      <w:bookmarkStart w:id="79" w:name="_Toc53502226"/>
      <w:bookmarkStart w:id="80" w:name="_Toc53620648"/>
      <w:bookmarkStart w:id="81" w:name="_Toc53501730"/>
      <w:r>
        <w:rPr>
          <w:rFonts w:hint="eastAsia"/>
          <w:sz w:val="24"/>
          <w:szCs w:val="24"/>
        </w:rPr>
        <w:t>公示信息</w:t>
      </w:r>
      <w:bookmarkEnd w:id="76"/>
      <w:bookmarkEnd w:id="77"/>
      <w:bookmarkEnd w:id="78"/>
      <w:bookmarkEnd w:id="79"/>
      <w:bookmarkEnd w:id="80"/>
      <w:bookmarkEnd w:id="81"/>
    </w:p>
    <w:p>
      <w:pPr>
        <w:rPr>
          <w:sz w:val="24"/>
          <w:szCs w:val="24"/>
        </w:rPr>
      </w:pPr>
      <w:r>
        <w:rPr>
          <w:rFonts w:hint="eastAsia"/>
          <w:sz w:val="24"/>
          <w:szCs w:val="24"/>
        </w:rPr>
        <w:t>在左侧“奖助信息管理”一栏中，点击“公示信息”进入页面，列表中展示了所有正在公示的奖助信息（图4.1）。</w:t>
      </w:r>
    </w:p>
    <w:p>
      <w:pPr>
        <w:jc w:val="center"/>
        <w:rPr>
          <w:sz w:val="24"/>
          <w:szCs w:val="24"/>
        </w:rPr>
      </w:pPr>
      <w:r>
        <w:rPr>
          <w:sz w:val="24"/>
          <w:szCs w:val="24"/>
        </w:rPr>
        <w:drawing>
          <wp:inline distT="0" distB="0" distL="0" distR="0">
            <wp:extent cx="5260975" cy="2567305"/>
            <wp:effectExtent l="0" t="0" r="15875" b="4445"/>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325601" cy="2599409"/>
                    </a:xfrm>
                    <a:prstGeom prst="rect">
                      <a:avLst/>
                    </a:prstGeom>
                    <a:noFill/>
                    <a:ln>
                      <a:noFill/>
                    </a:ln>
                  </pic:spPr>
                </pic:pic>
              </a:graphicData>
            </a:graphic>
          </wp:inline>
        </w:drawing>
      </w:r>
    </w:p>
    <w:p>
      <w:pPr>
        <w:jc w:val="center"/>
        <w:rPr>
          <w:sz w:val="24"/>
          <w:szCs w:val="24"/>
        </w:rPr>
      </w:pPr>
      <w:r>
        <w:rPr>
          <w:rFonts w:hint="eastAsia"/>
          <w:sz w:val="24"/>
          <w:szCs w:val="24"/>
        </w:rPr>
        <w:t>图4.1</w:t>
      </w:r>
    </w:p>
    <w:p>
      <w:pPr>
        <w:rPr>
          <w:sz w:val="24"/>
          <w:szCs w:val="24"/>
        </w:rPr>
      </w:pPr>
      <w:r>
        <w:rPr>
          <w:rFonts w:hint="eastAsia"/>
          <w:sz w:val="24"/>
          <w:szCs w:val="24"/>
        </w:rPr>
        <w:t>点击“查看公示详情”按钮，可查看对应奖助的公示详情，包括成功申请奖助的学生等（图4.</w:t>
      </w:r>
      <w:r>
        <w:rPr>
          <w:sz w:val="24"/>
          <w:szCs w:val="24"/>
        </w:rPr>
        <w:t>2</w:t>
      </w:r>
      <w:r>
        <w:rPr>
          <w:rFonts w:hint="eastAsia"/>
          <w:sz w:val="24"/>
          <w:szCs w:val="24"/>
        </w:rPr>
        <w:t>）。</w:t>
      </w:r>
    </w:p>
    <w:p>
      <w:pPr>
        <w:jc w:val="center"/>
        <w:rPr>
          <w:sz w:val="24"/>
          <w:szCs w:val="24"/>
        </w:rPr>
      </w:pPr>
      <w:r>
        <w:rPr>
          <w:sz w:val="24"/>
          <w:szCs w:val="24"/>
        </w:rPr>
        <w:drawing>
          <wp:inline distT="0" distB="0" distL="0" distR="0">
            <wp:extent cx="5260975" cy="2567305"/>
            <wp:effectExtent l="0" t="0" r="15875" b="4445"/>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261040" cy="2567393"/>
                    </a:xfrm>
                    <a:prstGeom prst="rect">
                      <a:avLst/>
                    </a:prstGeom>
                    <a:noFill/>
                    <a:ln>
                      <a:noFill/>
                    </a:ln>
                  </pic:spPr>
                </pic:pic>
              </a:graphicData>
            </a:graphic>
          </wp:inline>
        </w:drawing>
      </w:r>
    </w:p>
    <w:p>
      <w:pPr>
        <w:jc w:val="center"/>
        <w:rPr>
          <w:sz w:val="24"/>
          <w:szCs w:val="24"/>
        </w:rPr>
      </w:pPr>
      <w:r>
        <w:rPr>
          <w:rFonts w:hint="eastAsia"/>
          <w:sz w:val="24"/>
          <w:szCs w:val="24"/>
        </w:rPr>
        <w:t>图4.2</w:t>
      </w:r>
    </w:p>
    <w:p>
      <w:pPr>
        <w:widowControl/>
        <w:jc w:val="left"/>
        <w:rPr>
          <w:sz w:val="24"/>
          <w:szCs w:val="24"/>
        </w:rPr>
      </w:pPr>
      <w:r>
        <w:rPr>
          <w:sz w:val="24"/>
          <w:szCs w:val="24"/>
        </w:rPr>
        <w:br w:type="page"/>
      </w:r>
    </w:p>
    <w:p>
      <w:pPr>
        <w:pStyle w:val="15"/>
        <w:numPr>
          <w:ilvl w:val="0"/>
          <w:numId w:val="2"/>
        </w:numPr>
        <w:outlineLvl w:val="9"/>
        <w:rPr>
          <w:sz w:val="24"/>
          <w:szCs w:val="24"/>
        </w:rPr>
      </w:pPr>
      <w:bookmarkStart w:id="82" w:name="_Toc19568"/>
      <w:bookmarkStart w:id="83" w:name="_Toc53924865"/>
      <w:bookmarkStart w:id="84" w:name="_Toc53501731"/>
      <w:bookmarkStart w:id="85" w:name="_Toc53501755"/>
      <w:bookmarkStart w:id="86" w:name="_Toc53502227"/>
      <w:bookmarkStart w:id="87" w:name="_Toc53620649"/>
      <w:r>
        <w:rPr>
          <w:rFonts w:hint="eastAsia"/>
          <w:sz w:val="24"/>
          <w:szCs w:val="24"/>
        </w:rPr>
        <w:t>奖助发放</w:t>
      </w:r>
      <w:bookmarkEnd w:id="82"/>
      <w:bookmarkEnd w:id="83"/>
      <w:bookmarkEnd w:id="84"/>
      <w:bookmarkEnd w:id="85"/>
      <w:bookmarkEnd w:id="86"/>
      <w:bookmarkEnd w:id="87"/>
    </w:p>
    <w:p>
      <w:pPr>
        <w:rPr>
          <w:sz w:val="24"/>
          <w:szCs w:val="24"/>
        </w:rPr>
      </w:pPr>
      <w:r>
        <w:rPr>
          <w:rFonts w:hint="eastAsia"/>
          <w:sz w:val="24"/>
          <w:szCs w:val="24"/>
        </w:rPr>
        <w:t>在左侧“奖助信息管理”一栏中，点击“奖助发放”进入页面，列表中展示了已发放的奖助信息（图5.1）。</w:t>
      </w:r>
    </w:p>
    <w:p>
      <w:pPr>
        <w:jc w:val="center"/>
        <w:rPr>
          <w:sz w:val="24"/>
          <w:szCs w:val="24"/>
        </w:rPr>
      </w:pPr>
      <w:r>
        <w:rPr>
          <w:sz w:val="24"/>
          <w:szCs w:val="24"/>
        </w:rPr>
        <w:drawing>
          <wp:inline distT="0" distB="0" distL="0" distR="0">
            <wp:extent cx="5260975" cy="2654935"/>
            <wp:effectExtent l="0" t="0" r="15875" b="12065"/>
            <wp:docPr id="35" name="图片 13" descr="1602322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descr="160232206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261040" cy="2655366"/>
                    </a:xfrm>
                    <a:prstGeom prst="rect">
                      <a:avLst/>
                    </a:prstGeom>
                    <a:noFill/>
                    <a:ln>
                      <a:noFill/>
                    </a:ln>
                  </pic:spPr>
                </pic:pic>
              </a:graphicData>
            </a:graphic>
          </wp:inline>
        </w:drawing>
      </w:r>
    </w:p>
    <w:p>
      <w:pPr>
        <w:jc w:val="center"/>
        <w:rPr>
          <w:sz w:val="24"/>
          <w:szCs w:val="24"/>
        </w:rPr>
      </w:pPr>
      <w:r>
        <w:rPr>
          <w:rFonts w:hint="eastAsia"/>
          <w:sz w:val="24"/>
          <w:szCs w:val="24"/>
        </w:rPr>
        <w:t>图5.1</w:t>
      </w:r>
    </w:p>
    <w:p>
      <w:pPr>
        <w:widowControl/>
        <w:jc w:val="left"/>
        <w:rPr>
          <w:sz w:val="24"/>
          <w:szCs w:val="24"/>
        </w:rPr>
      </w:pPr>
      <w:r>
        <w:rPr>
          <w:sz w:val="24"/>
          <w:szCs w:val="24"/>
        </w:rPr>
        <w:br w:type="page"/>
      </w:r>
    </w:p>
    <w:p>
      <w:pPr>
        <w:pStyle w:val="15"/>
        <w:numPr>
          <w:ilvl w:val="0"/>
          <w:numId w:val="2"/>
        </w:numPr>
        <w:outlineLvl w:val="9"/>
        <w:rPr>
          <w:sz w:val="24"/>
          <w:szCs w:val="24"/>
        </w:rPr>
      </w:pPr>
      <w:bookmarkStart w:id="88" w:name="_Toc53501732"/>
      <w:bookmarkStart w:id="89" w:name="_Toc53501756"/>
      <w:bookmarkStart w:id="90" w:name="_Toc7959"/>
      <w:bookmarkStart w:id="91" w:name="_Toc53620650"/>
      <w:bookmarkStart w:id="92" w:name="_Toc53924866"/>
      <w:bookmarkStart w:id="93" w:name="_Toc53502228"/>
      <w:r>
        <w:rPr>
          <w:rFonts w:hint="eastAsia"/>
          <w:sz w:val="24"/>
          <w:szCs w:val="24"/>
        </w:rPr>
        <w:t>长效管理</w:t>
      </w:r>
      <w:bookmarkEnd w:id="88"/>
      <w:bookmarkEnd w:id="89"/>
      <w:bookmarkEnd w:id="90"/>
      <w:bookmarkEnd w:id="91"/>
      <w:bookmarkEnd w:id="92"/>
      <w:bookmarkEnd w:id="93"/>
    </w:p>
    <w:p>
      <w:pPr>
        <w:rPr>
          <w:sz w:val="24"/>
          <w:szCs w:val="24"/>
        </w:rPr>
      </w:pPr>
      <w:r>
        <w:rPr>
          <w:rFonts w:hint="eastAsia"/>
          <w:sz w:val="24"/>
          <w:szCs w:val="24"/>
        </w:rPr>
        <w:t>在左侧“奖助信息管理”一栏中，点击“长效管理”进入页面，查看所有学生的长效管理申请（图6.1）。</w:t>
      </w:r>
    </w:p>
    <w:p>
      <w:pPr>
        <w:jc w:val="center"/>
        <w:rPr>
          <w:sz w:val="24"/>
          <w:szCs w:val="24"/>
        </w:rPr>
      </w:pPr>
      <w:r>
        <w:rPr>
          <w:sz w:val="24"/>
          <w:szCs w:val="24"/>
        </w:rPr>
        <w:drawing>
          <wp:inline distT="0" distB="0" distL="0" distR="0">
            <wp:extent cx="5260975" cy="2665095"/>
            <wp:effectExtent l="0" t="0" r="15875" b="1905"/>
            <wp:docPr id="36" name="图片 14" descr="1602322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4" descr="160232221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261040" cy="2665434"/>
                    </a:xfrm>
                    <a:prstGeom prst="rect">
                      <a:avLst/>
                    </a:prstGeom>
                    <a:noFill/>
                    <a:ln>
                      <a:noFill/>
                    </a:ln>
                  </pic:spPr>
                </pic:pic>
              </a:graphicData>
            </a:graphic>
          </wp:inline>
        </w:drawing>
      </w:r>
    </w:p>
    <w:p>
      <w:pPr>
        <w:jc w:val="center"/>
        <w:rPr>
          <w:sz w:val="24"/>
          <w:szCs w:val="24"/>
        </w:rPr>
      </w:pPr>
      <w:r>
        <w:rPr>
          <w:rFonts w:hint="eastAsia"/>
          <w:sz w:val="24"/>
          <w:szCs w:val="24"/>
        </w:rPr>
        <w:t>图6.1</w:t>
      </w:r>
    </w:p>
    <w:p>
      <w:pPr>
        <w:rPr>
          <w:sz w:val="24"/>
          <w:szCs w:val="24"/>
        </w:rPr>
      </w:pPr>
      <w:r>
        <w:rPr>
          <w:rFonts w:hint="eastAsia"/>
          <w:sz w:val="24"/>
          <w:szCs w:val="24"/>
        </w:rPr>
        <w:t>点击“详情”可查看该生填写的长效详情（图6.2），在详情页面内也可以进行长效管理审批。</w:t>
      </w:r>
    </w:p>
    <w:p>
      <w:pPr>
        <w:jc w:val="center"/>
        <w:rPr>
          <w:sz w:val="24"/>
          <w:szCs w:val="24"/>
        </w:rPr>
      </w:pPr>
      <w:r>
        <w:rPr>
          <w:sz w:val="24"/>
          <w:szCs w:val="24"/>
        </w:rPr>
        <w:drawing>
          <wp:inline distT="0" distB="0" distL="0" distR="0">
            <wp:extent cx="5260975" cy="2665095"/>
            <wp:effectExtent l="0" t="0" r="15875" b="1905"/>
            <wp:docPr id="37" name="图片 15" descr="1602322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descr="1602322326(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261040" cy="2665434"/>
                    </a:xfrm>
                    <a:prstGeom prst="rect">
                      <a:avLst/>
                    </a:prstGeom>
                    <a:noFill/>
                    <a:ln>
                      <a:noFill/>
                    </a:ln>
                  </pic:spPr>
                </pic:pic>
              </a:graphicData>
            </a:graphic>
          </wp:inline>
        </w:drawing>
      </w:r>
    </w:p>
    <w:p>
      <w:pPr>
        <w:jc w:val="center"/>
        <w:rPr>
          <w:sz w:val="24"/>
          <w:szCs w:val="24"/>
        </w:rPr>
      </w:pPr>
      <w:r>
        <w:rPr>
          <w:rFonts w:hint="eastAsia"/>
          <w:sz w:val="24"/>
          <w:szCs w:val="24"/>
        </w:rPr>
        <w:t>图6.2</w:t>
      </w:r>
    </w:p>
    <w:p>
      <w:pPr>
        <w:widowControl/>
        <w:jc w:val="left"/>
        <w:rPr>
          <w:sz w:val="24"/>
          <w:szCs w:val="24"/>
        </w:rPr>
      </w:pPr>
      <w:r>
        <w:rPr>
          <w:sz w:val="24"/>
          <w:szCs w:val="24"/>
        </w:rPr>
        <w:br w:type="page"/>
      </w:r>
    </w:p>
    <w:p>
      <w:pPr>
        <w:pStyle w:val="15"/>
        <w:numPr>
          <w:ilvl w:val="0"/>
          <w:numId w:val="2"/>
        </w:numPr>
        <w:outlineLvl w:val="9"/>
        <w:rPr>
          <w:sz w:val="24"/>
          <w:szCs w:val="24"/>
        </w:rPr>
      </w:pPr>
      <w:bookmarkStart w:id="94" w:name="_Toc53502229"/>
      <w:bookmarkStart w:id="95" w:name="_Toc53501757"/>
      <w:bookmarkStart w:id="96" w:name="_Toc53501733"/>
      <w:bookmarkStart w:id="97" w:name="_Toc53924867"/>
      <w:bookmarkStart w:id="98" w:name="_Toc53620651"/>
      <w:bookmarkStart w:id="99" w:name="_Toc12173"/>
      <w:r>
        <w:rPr>
          <w:rFonts w:hint="eastAsia"/>
          <w:sz w:val="24"/>
          <w:szCs w:val="24"/>
        </w:rPr>
        <w:t>历史奖助</w:t>
      </w:r>
      <w:bookmarkEnd w:id="94"/>
      <w:bookmarkEnd w:id="95"/>
      <w:bookmarkEnd w:id="96"/>
      <w:bookmarkEnd w:id="97"/>
      <w:bookmarkEnd w:id="98"/>
      <w:bookmarkEnd w:id="99"/>
    </w:p>
    <w:p>
      <w:pPr>
        <w:rPr>
          <w:sz w:val="24"/>
          <w:szCs w:val="24"/>
        </w:rPr>
      </w:pPr>
      <w:r>
        <w:rPr>
          <w:rFonts w:hint="eastAsia"/>
          <w:sz w:val="24"/>
          <w:szCs w:val="24"/>
        </w:rPr>
        <w:t>在左侧“奖助信息管理”一栏中，点击“历史奖助”菜单进入页面（图7.1），列表中展示了已经被系统管理员归档的奖助信息。</w:t>
      </w:r>
    </w:p>
    <w:p>
      <w:pPr>
        <w:jc w:val="center"/>
        <w:rPr>
          <w:sz w:val="24"/>
          <w:szCs w:val="24"/>
        </w:rPr>
      </w:pPr>
      <w:r>
        <w:rPr>
          <w:sz w:val="24"/>
          <w:szCs w:val="24"/>
        </w:rPr>
        <w:drawing>
          <wp:inline distT="0" distB="0" distL="0" distR="0">
            <wp:extent cx="5260975" cy="2654935"/>
            <wp:effectExtent l="0" t="0" r="15875" b="12065"/>
            <wp:docPr id="38" name="图片 16" descr="16023227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6" descr="160232276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261040" cy="2655366"/>
                    </a:xfrm>
                    <a:prstGeom prst="rect">
                      <a:avLst/>
                    </a:prstGeom>
                    <a:noFill/>
                    <a:ln>
                      <a:noFill/>
                    </a:ln>
                  </pic:spPr>
                </pic:pic>
              </a:graphicData>
            </a:graphic>
          </wp:inline>
        </w:drawing>
      </w:r>
    </w:p>
    <w:p>
      <w:pPr>
        <w:jc w:val="center"/>
      </w:pPr>
      <w:r>
        <w:rPr>
          <w:rFonts w:hint="eastAsia"/>
          <w:sz w:val="24"/>
          <w:szCs w:val="24"/>
        </w:rPr>
        <w:t>图7.1</w:t>
      </w:r>
    </w:p>
    <w:p>
      <w:pPr>
        <w:rPr>
          <w:rFonts w:ascii="方正小标宋简体" w:eastAsia="方正小标宋简体"/>
          <w:sz w:val="32"/>
          <w:szCs w:val="32"/>
        </w:rPr>
      </w:pPr>
    </w:p>
    <w:p/>
    <w:p/>
    <w:sectPr>
      <w:pgSz w:w="11906" w:h="16838"/>
      <w:pgMar w:top="1440" w:right="1797" w:bottom="1440" w:left="1797"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小标宋简体">
    <w:altName w:val="仿宋_GB2312"/>
    <w:panose1 w:val="03000509000000000000"/>
    <w:charset w:val="86"/>
    <w:family w:val="script"/>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575F1C"/>
    <w:multiLevelType w:val="multilevel"/>
    <w:tmpl w:val="03575F1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14F528CA"/>
    <w:multiLevelType w:val="multilevel"/>
    <w:tmpl w:val="14F528C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3BB83F43"/>
    <w:multiLevelType w:val="multilevel"/>
    <w:tmpl w:val="3BB83F43"/>
    <w:lvl w:ilvl="0" w:tentative="0">
      <w:start w:val="1"/>
      <w:numFmt w:val="decimal"/>
      <w:lvlText w:val="%1."/>
      <w:lvlJc w:val="left"/>
      <w:pPr>
        <w:ind w:left="360" w:hanging="360"/>
      </w:pPr>
    </w:lvl>
    <w:lvl w:ilvl="1" w:tentative="0">
      <w:start w:val="1"/>
      <w:numFmt w:val="decimal"/>
      <w:lvlText w:val="%1.%2."/>
      <w:lvlJc w:val="left"/>
      <w:pPr>
        <w:ind w:left="792" w:hanging="432"/>
      </w:p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3">
    <w:nsid w:val="55B557C0"/>
    <w:multiLevelType w:val="multilevel"/>
    <w:tmpl w:val="55B557C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66F690DC"/>
    <w:multiLevelType w:val="singleLevel"/>
    <w:tmpl w:val="66F690DC"/>
    <w:lvl w:ilvl="0" w:tentative="0">
      <w:start w:val="3"/>
      <w:numFmt w:val="chineseCounting"/>
      <w:suff w:val="nothing"/>
      <w:lvlText w:val="（%1）"/>
      <w:lvlJc w:val="left"/>
      <w:pPr>
        <w:ind w:left="560" w:firstLine="0"/>
      </w:pPr>
      <w:rPr>
        <w:rFonts w:hint="eastAsia"/>
      </w:rPr>
    </w:lvl>
  </w:abstractNum>
  <w:abstractNum w:abstractNumId="5">
    <w:nsid w:val="6DE11E41"/>
    <w:multiLevelType w:val="multilevel"/>
    <w:tmpl w:val="6DE11E41"/>
    <w:lvl w:ilvl="0" w:tentative="0">
      <w:start w:val="1"/>
      <w:numFmt w:val="decimal"/>
      <w:lvlText w:val="%1."/>
      <w:lvlJc w:val="left"/>
      <w:pPr>
        <w:ind w:left="360" w:hanging="360"/>
      </w:pPr>
    </w:lvl>
    <w:lvl w:ilvl="1" w:tentative="0">
      <w:start w:val="1"/>
      <w:numFmt w:val="decimal"/>
      <w:lvlText w:val="%1.%2."/>
      <w:lvlJc w:val="left"/>
      <w:pPr>
        <w:ind w:left="432" w:hanging="432"/>
      </w:p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num w:numId="1">
    <w:abstractNumId w:val="4"/>
  </w:num>
  <w:num w:numId="2">
    <w:abstractNumId w:val="5"/>
  </w:num>
  <w:num w:numId="3">
    <w:abstractNumId w:val="2"/>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UwOTk0MGYzMjVjZDVjMTMwNWMyZmY2ZDdlMGQwNWYifQ=="/>
  </w:docVars>
  <w:rsids>
    <w:rsidRoot w:val="5CE2037E"/>
    <w:rsid w:val="00276EFE"/>
    <w:rsid w:val="00297B4A"/>
    <w:rsid w:val="00387B79"/>
    <w:rsid w:val="00676531"/>
    <w:rsid w:val="007B3552"/>
    <w:rsid w:val="007D17D6"/>
    <w:rsid w:val="00AB166F"/>
    <w:rsid w:val="00AC657F"/>
    <w:rsid w:val="00BB0FCB"/>
    <w:rsid w:val="00C24D81"/>
    <w:rsid w:val="0FF2540A"/>
    <w:rsid w:val="12BC2525"/>
    <w:rsid w:val="17383998"/>
    <w:rsid w:val="18D559E3"/>
    <w:rsid w:val="1D98092E"/>
    <w:rsid w:val="20221664"/>
    <w:rsid w:val="20C06CD9"/>
    <w:rsid w:val="2BE710A1"/>
    <w:rsid w:val="32E967DA"/>
    <w:rsid w:val="36682270"/>
    <w:rsid w:val="5A413C2C"/>
    <w:rsid w:val="5CE2037E"/>
    <w:rsid w:val="6271332A"/>
    <w:rsid w:val="7CF42A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Body Text"/>
    <w:basedOn w:val="1"/>
    <w:qFormat/>
    <w:uiPriority w:val="0"/>
    <w:pPr>
      <w:spacing w:after="120"/>
    </w:pPr>
  </w:style>
  <w:style w:type="paragraph" w:styleId="5">
    <w:name w:val="footer"/>
    <w:basedOn w:val="1"/>
    <w:link w:val="20"/>
    <w:qFormat/>
    <w:uiPriority w:val="0"/>
    <w:pPr>
      <w:tabs>
        <w:tab w:val="center" w:pos="4153"/>
        <w:tab w:val="right" w:pos="8306"/>
      </w:tabs>
      <w:snapToGrid w:val="0"/>
      <w:jc w:val="left"/>
    </w:pPr>
    <w:rPr>
      <w:sz w:val="18"/>
      <w:szCs w:val="18"/>
    </w:rPr>
  </w:style>
  <w:style w:type="paragraph" w:styleId="6">
    <w:name w:val="header"/>
    <w:basedOn w:val="1"/>
    <w:link w:val="19"/>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widowControl/>
      <w:spacing w:before="240" w:after="240"/>
      <w:jc w:val="left"/>
    </w:pPr>
    <w:rPr>
      <w:rFonts w:ascii="宋体" w:hAnsi="宋体" w:eastAsia="宋体" w:cs="宋体"/>
      <w:color w:val="555555"/>
      <w:kern w:val="0"/>
      <w:sz w:val="24"/>
      <w:szCs w:val="24"/>
    </w:rPr>
  </w:style>
  <w:style w:type="paragraph" w:styleId="8">
    <w:name w:val="Title"/>
    <w:basedOn w:val="1"/>
    <w:next w:val="1"/>
    <w:qFormat/>
    <w:uiPriority w:val="0"/>
    <w:pPr>
      <w:contextualSpacing/>
    </w:pPr>
    <w:rPr>
      <w:rFonts w:asciiTheme="majorHAnsi" w:hAnsiTheme="majorHAnsi" w:eastAsiaTheme="majorEastAsia" w:cstheme="majorBidi"/>
      <w:spacing w:val="-10"/>
      <w:kern w:val="28"/>
      <w:sz w:val="56"/>
      <w:szCs w:val="56"/>
    </w:rPr>
  </w:style>
  <w:style w:type="character" w:styleId="11">
    <w:name w:val="Strong"/>
    <w:basedOn w:val="10"/>
    <w:qFormat/>
    <w:uiPriority w:val="22"/>
    <w:rPr>
      <w:b/>
      <w:bCs/>
    </w:rPr>
  </w:style>
  <w:style w:type="character" w:styleId="12">
    <w:name w:val="Emphasis"/>
    <w:basedOn w:val="10"/>
    <w:qFormat/>
    <w:uiPriority w:val="0"/>
    <w:rPr>
      <w:rFonts w:eastAsia="宋体" w:asciiTheme="minorHAnsi" w:hAnsiTheme="minorHAnsi"/>
      <w:i/>
      <w:iCs/>
    </w:rPr>
  </w:style>
  <w:style w:type="character" w:styleId="13">
    <w:name w:val="Hyperlink"/>
    <w:basedOn w:val="10"/>
    <w:unhideWhenUsed/>
    <w:qFormat/>
    <w:uiPriority w:val="99"/>
    <w:rPr>
      <w:color w:val="0563C1" w:themeColor="hyperlink"/>
      <w:u w:val="single"/>
      <w14:textFill>
        <w14:solidFill>
          <w14:schemeClr w14:val="hlink"/>
        </w14:solidFill>
      </w14:textFill>
    </w:rPr>
  </w:style>
  <w:style w:type="paragraph" w:customStyle="1" w:styleId="14">
    <w:name w:val="Title Style"/>
    <w:basedOn w:val="8"/>
    <w:next w:val="1"/>
    <w:qFormat/>
    <w:uiPriority w:val="0"/>
    <w:pPr>
      <w:jc w:val="center"/>
    </w:pPr>
    <w:rPr>
      <w:rFonts w:ascii="黑体" w:hAnsi="黑体" w:eastAsia="黑体"/>
      <w:b/>
    </w:rPr>
  </w:style>
  <w:style w:type="paragraph" w:customStyle="1" w:styleId="15">
    <w:name w:val="HS1"/>
    <w:basedOn w:val="2"/>
    <w:next w:val="1"/>
    <w:qFormat/>
    <w:uiPriority w:val="0"/>
    <w:rPr>
      <w:rFonts w:ascii="Arial" w:hAnsi="Arial" w:eastAsia="黑体" w:cs="黑体"/>
      <w:sz w:val="32"/>
      <w:szCs w:val="32"/>
    </w:rPr>
  </w:style>
  <w:style w:type="paragraph" w:customStyle="1" w:styleId="16">
    <w:name w:val="HS2"/>
    <w:basedOn w:val="3"/>
    <w:next w:val="1"/>
    <w:qFormat/>
    <w:uiPriority w:val="0"/>
    <w:rPr>
      <w:rFonts w:cs="黑体"/>
      <w:sz w:val="28"/>
      <w:szCs w:val="28"/>
    </w:rPr>
  </w:style>
  <w:style w:type="paragraph" w:styleId="17">
    <w:name w:val="List Paragraph"/>
    <w:basedOn w:val="1"/>
    <w:qFormat/>
    <w:uiPriority w:val="34"/>
    <w:pPr>
      <w:ind w:firstLine="420" w:firstLineChars="200"/>
    </w:pPr>
  </w:style>
  <w:style w:type="paragraph" w:customStyle="1" w:styleId="18">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19">
    <w:name w:val="页眉 字符"/>
    <w:basedOn w:val="10"/>
    <w:link w:val="6"/>
    <w:qFormat/>
    <w:uiPriority w:val="0"/>
    <w:rPr>
      <w:kern w:val="2"/>
      <w:sz w:val="18"/>
      <w:szCs w:val="18"/>
    </w:rPr>
  </w:style>
  <w:style w:type="character" w:customStyle="1" w:styleId="20">
    <w:name w:val="页脚 字符"/>
    <w:basedOn w:val="10"/>
    <w:link w:val="5"/>
    <w:qFormat/>
    <w:uiPriority w:val="0"/>
    <w:rPr>
      <w:kern w:val="2"/>
      <w:sz w:val="18"/>
      <w:szCs w:val="18"/>
    </w:rPr>
  </w:style>
  <w:style w:type="paragraph" w:customStyle="1" w:styleId="21">
    <w:name w:val="Revision"/>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31</Pages>
  <Words>4764</Words>
  <Characters>5150</Characters>
  <Lines>1414</Lines>
  <Paragraphs>1884</Paragraphs>
  <TotalTime>1</TotalTime>
  <ScaleCrop>false</ScaleCrop>
  <LinksUpToDate>false</LinksUpToDate>
  <CharactersWithSpaces>5163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2023-03-03T08:55:00Z</dcterms:created>
  <dc:creator>FFFANNIE</dc:creator>
  <cp:lastModifiedBy>FFFANNIE</cp:lastModifiedBy>
  <dcterms:modified xsi:type="dcterms:W3CDTF">2023-03-06T05:52:22Z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1614E67BE15C4F0AB1742F5201C63153</vt:lpwstr>
  </property>
</Properties>
</file>