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32"/>
          <w:szCs w:val="32"/>
        </w:rPr>
      </w:pPr>
      <w:bookmarkStart w:id="2" w:name="_GoBack"/>
      <w:bookmarkEnd w:id="2"/>
    </w:p>
    <w:p>
      <w:pPr>
        <w:jc w:val="center"/>
        <w:rPr>
          <w:rFonts w:ascii="Times New Roman" w:hAnsi="Times New Roman" w:cs="Times New Roman"/>
          <w:b/>
          <w:szCs w:val="21"/>
        </w:rPr>
      </w:pPr>
      <w:r>
        <w:rPr>
          <w:rFonts w:ascii="Times New Roman" w:hAnsi="Times New Roman" w:cs="Times New Roman"/>
          <w:b/>
          <w:sz w:val="32"/>
          <w:szCs w:val="32"/>
        </w:rPr>
        <w:t>环境科学与工程一级学科博士研究生培养方案（0830）</w:t>
      </w:r>
    </w:p>
    <w:p>
      <w:pPr>
        <w:spacing w:line="360" w:lineRule="auto"/>
        <w:jc w:val="center"/>
        <w:rPr>
          <w:rFonts w:ascii="Times New Roman" w:hAnsi="Times New Roman" w:cs="Times New Roman"/>
          <w:sz w:val="28"/>
          <w:szCs w:val="28"/>
        </w:rPr>
      </w:pPr>
      <w:r>
        <w:rPr>
          <w:rFonts w:ascii="Times New Roman" w:hAnsi="Times New Roman" w:cs="Times New Roman"/>
          <w:sz w:val="28"/>
          <w:szCs w:val="28"/>
        </w:rPr>
        <w:t>生态与环境科学学院  河口海岸研究院</w:t>
      </w:r>
    </w:p>
    <w:p>
      <w:pPr>
        <w:spacing w:line="360" w:lineRule="auto"/>
        <w:jc w:val="center"/>
        <w:rPr>
          <w:rFonts w:ascii="Times New Roman" w:hAnsi="Times New Roman" w:cs="Times New Roman"/>
          <w:sz w:val="28"/>
          <w:szCs w:val="28"/>
        </w:rPr>
      </w:pPr>
    </w:p>
    <w:p>
      <w:pPr>
        <w:spacing w:before="156" w:beforeLines="50" w:after="156" w:afterLines="50"/>
        <w:ind w:left="480"/>
        <w:rPr>
          <w:rFonts w:ascii="Times New Roman" w:hAnsi="Times New Roman" w:eastAsia="黑体" w:cs="Times New Roman"/>
          <w:sz w:val="24"/>
          <w:szCs w:val="24"/>
        </w:rPr>
      </w:pPr>
      <w:r>
        <w:rPr>
          <w:rFonts w:hint="eastAsia" w:ascii="Times New Roman" w:hAnsi="Times New Roman" w:eastAsia="黑体" w:cs="Times New Roman"/>
          <w:sz w:val="24"/>
          <w:szCs w:val="24"/>
        </w:rPr>
        <w:t>一、</w:t>
      </w:r>
      <w:r>
        <w:rPr>
          <w:rFonts w:ascii="Times New Roman" w:hAnsi="Times New Roman" w:eastAsia="黑体" w:cs="Times New Roman"/>
          <w:sz w:val="24"/>
          <w:szCs w:val="24"/>
        </w:rPr>
        <w:t>指导思想</w:t>
      </w:r>
    </w:p>
    <w:p>
      <w:pPr>
        <w:ind w:firstLine="420" w:firstLineChars="200"/>
        <w:rPr>
          <w:rFonts w:cs="等线" w:asciiTheme="minorEastAsia" w:hAnsiTheme="minorEastAsia"/>
          <w:szCs w:val="21"/>
        </w:rPr>
      </w:pPr>
      <w:r>
        <w:rPr>
          <w:rStyle w:val="42"/>
          <w:rFonts w:asciiTheme="minorEastAsia" w:hAnsiTheme="minorEastAsia" w:eastAsiaTheme="minorEastAsia"/>
        </w:rPr>
        <w:t>以习近平新时代中国特色社会主义思想和党的十九大精神为指导，全面贯彻党的教育方针，以立德树人作为研究生培养的根本任务，深化研究生教育内涵发展，</w:t>
      </w:r>
      <w:r>
        <w:rPr>
          <w:rStyle w:val="42"/>
          <w:rFonts w:hint="eastAsia" w:asciiTheme="minorEastAsia" w:hAnsiTheme="minorEastAsia" w:eastAsiaTheme="minorEastAsia"/>
        </w:rPr>
        <w:t>充分</w:t>
      </w:r>
      <w:r>
        <w:rPr>
          <w:rStyle w:val="42"/>
          <w:rFonts w:asciiTheme="minorEastAsia" w:hAnsiTheme="minorEastAsia" w:eastAsiaTheme="minorEastAsia"/>
        </w:rPr>
        <w:t>激发研究生卓越</w:t>
      </w:r>
      <w:r>
        <w:rPr>
          <w:rStyle w:val="42"/>
          <w:rFonts w:hint="eastAsia" w:asciiTheme="minorEastAsia" w:hAnsiTheme="minorEastAsia" w:eastAsiaTheme="minorEastAsia"/>
        </w:rPr>
        <w:t>人才</w:t>
      </w:r>
      <w:r>
        <w:rPr>
          <w:rStyle w:val="42"/>
          <w:rFonts w:asciiTheme="minorEastAsia" w:hAnsiTheme="minorEastAsia" w:eastAsiaTheme="minorEastAsia"/>
        </w:rPr>
        <w:t>创新创造的积极性</w:t>
      </w:r>
      <w:r>
        <w:rPr>
          <w:rStyle w:val="42"/>
          <w:rFonts w:hint="eastAsia" w:asciiTheme="minorEastAsia" w:hAnsiTheme="minorEastAsia" w:eastAsiaTheme="minorEastAsia"/>
        </w:rPr>
        <w:t>和</w:t>
      </w:r>
      <w:r>
        <w:rPr>
          <w:rStyle w:val="42"/>
          <w:rFonts w:asciiTheme="minorEastAsia" w:hAnsiTheme="minorEastAsia" w:eastAsiaTheme="minorEastAsia"/>
        </w:rPr>
        <w:t>活力，培养造就国家急需的德才兼备的高层次拔尖创新人才</w:t>
      </w:r>
      <w:r>
        <w:rPr>
          <w:rStyle w:val="42"/>
          <w:rFonts w:hint="eastAsia" w:asciiTheme="minorEastAsia" w:hAnsiTheme="minorEastAsia" w:eastAsiaTheme="minorEastAsia"/>
        </w:rPr>
        <w:t>。</w:t>
      </w:r>
    </w:p>
    <w:p>
      <w:pPr>
        <w:spacing w:before="156" w:beforeLines="50" w:after="156" w:afterLines="50"/>
        <w:ind w:left="480"/>
        <w:rPr>
          <w:rFonts w:ascii="Times New Roman" w:hAnsi="Times New Roman" w:eastAsia="黑体" w:cs="Times New Roman"/>
          <w:sz w:val="24"/>
          <w:szCs w:val="24"/>
        </w:rPr>
      </w:pPr>
      <w:r>
        <w:rPr>
          <w:rFonts w:hint="eastAsia" w:ascii="Times New Roman" w:hAnsi="Times New Roman" w:eastAsia="黑体" w:cs="Times New Roman"/>
          <w:sz w:val="24"/>
          <w:szCs w:val="24"/>
        </w:rPr>
        <w:t>二、</w:t>
      </w:r>
      <w:r>
        <w:rPr>
          <w:rFonts w:ascii="Times New Roman" w:hAnsi="Times New Roman" w:eastAsia="黑体" w:cs="Times New Roman"/>
          <w:sz w:val="24"/>
          <w:szCs w:val="24"/>
        </w:rPr>
        <w:t xml:space="preserve">培养目标  </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1.</w:t>
      </w:r>
      <w:r>
        <w:rPr>
          <w:rFonts w:hint="eastAsia" w:ascii="黑体" w:hAnsi="黑体" w:eastAsia="黑体" w:cs="Times New Roman"/>
          <w:szCs w:val="21"/>
        </w:rPr>
        <w:t>人才的基本定位</w:t>
      </w:r>
      <w:r>
        <w:rPr>
          <w:rFonts w:ascii="黑体" w:hAnsi="黑体" w:eastAsia="黑体" w:cs="Times New Roman"/>
          <w:szCs w:val="21"/>
        </w:rPr>
        <w:t xml:space="preserve"> </w:t>
      </w:r>
    </w:p>
    <w:p>
      <w:pPr>
        <w:ind w:firstLine="420" w:firstLineChars="200"/>
        <w:rPr>
          <w:rFonts w:cs="等线" w:asciiTheme="minorEastAsia" w:hAnsiTheme="minorEastAsia"/>
          <w:szCs w:val="21"/>
        </w:rPr>
      </w:pPr>
      <w:r>
        <w:rPr>
          <w:rStyle w:val="42"/>
          <w:rFonts w:hint="eastAsia" w:asciiTheme="minorEastAsia" w:hAnsiTheme="minorEastAsia" w:eastAsiaTheme="minorEastAsia"/>
        </w:rPr>
        <w:t>德智体美全面发展，热爱环境事业，熟练</w:t>
      </w:r>
      <w:r>
        <w:rPr>
          <w:rStyle w:val="42"/>
          <w:rFonts w:asciiTheme="minorEastAsia" w:hAnsiTheme="minorEastAsia" w:eastAsiaTheme="minorEastAsia"/>
        </w:rPr>
        <w:t>掌握</w:t>
      </w:r>
      <w:r>
        <w:rPr>
          <w:rStyle w:val="42"/>
          <w:rFonts w:hint="eastAsia" w:asciiTheme="minorEastAsia" w:hAnsiTheme="minorEastAsia" w:eastAsiaTheme="minorEastAsia"/>
        </w:rPr>
        <w:t>本学科坚实宽广的环境学理论基础和系统深入的专门知识，具备良好的批判思维和科技创新能力，能够独立从事环境领域的科学研究、教学、环境管理工作，具有宽广国际视野的高层次拔尖创新人才。</w:t>
      </w:r>
    </w:p>
    <w:p>
      <w:pPr>
        <w:tabs>
          <w:tab w:val="left" w:pos="0"/>
        </w:tabs>
        <w:spacing w:before="156" w:beforeLines="50" w:after="156" w:afterLines="50" w:line="288" w:lineRule="auto"/>
        <w:ind w:left="403"/>
        <w:rPr>
          <w:rFonts w:ascii="等线" w:hAnsi="等线" w:eastAsia="华文细黑" w:cs="等线"/>
          <w:szCs w:val="21"/>
        </w:rPr>
      </w:pPr>
      <w:r>
        <w:rPr>
          <w:rFonts w:ascii="黑体" w:hAnsi="黑体" w:eastAsia="黑体" w:cs="Times New Roman"/>
          <w:szCs w:val="21"/>
        </w:rPr>
        <w:t>2.</w:t>
      </w:r>
      <w:r>
        <w:rPr>
          <w:rFonts w:hint="eastAsia" w:ascii="黑体" w:hAnsi="黑体" w:eastAsia="黑体" w:cs="Times New Roman"/>
          <w:szCs w:val="21"/>
        </w:rPr>
        <w:t>对毕业生综合素质的要求</w:t>
      </w:r>
    </w:p>
    <w:p>
      <w:pPr>
        <w:ind w:firstLine="420" w:firstLineChars="200"/>
        <w:rPr>
          <w:rStyle w:val="42"/>
          <w:rFonts w:asciiTheme="minorEastAsia" w:hAnsiTheme="minorEastAsia" w:eastAsiaTheme="minorEastAsia"/>
        </w:rPr>
      </w:pPr>
      <w:r>
        <w:rPr>
          <w:rStyle w:val="42"/>
          <w:rFonts w:asciiTheme="minorEastAsia" w:hAnsiTheme="minorEastAsia" w:eastAsiaTheme="minorEastAsia"/>
        </w:rPr>
        <w:t>（1）掌握马克思主义、毛泽东思想</w:t>
      </w:r>
      <w:r>
        <w:rPr>
          <w:rStyle w:val="42"/>
          <w:rFonts w:hint="eastAsia" w:asciiTheme="minorEastAsia" w:hAnsiTheme="minorEastAsia" w:eastAsiaTheme="minorEastAsia"/>
        </w:rPr>
        <w:t>、邓小平理论、“三个代表”重要思想、科学发展观</w:t>
      </w:r>
      <w:r>
        <w:rPr>
          <w:rStyle w:val="42"/>
          <w:rFonts w:asciiTheme="minorEastAsia" w:hAnsiTheme="minorEastAsia" w:eastAsiaTheme="minorEastAsia"/>
        </w:rPr>
        <w:t>和习近平新时代中国特色社会主义思想，拥护中国共产党的领导，具有社会主义核心价值观，具备生态文明和绿色发展观，爱国守法，诚信公正，学风严谨，具有家国情怀，具备实事求是的科学态度和优良的职业道德，德才兼备。</w:t>
      </w:r>
    </w:p>
    <w:p>
      <w:pPr>
        <w:ind w:firstLine="420" w:firstLineChars="200"/>
        <w:rPr>
          <w:rStyle w:val="42"/>
          <w:rFonts w:asciiTheme="minorEastAsia" w:hAnsiTheme="minorEastAsia" w:eastAsiaTheme="minorEastAsia"/>
        </w:rPr>
      </w:pPr>
      <w:r>
        <w:rPr>
          <w:rStyle w:val="42"/>
          <w:rFonts w:asciiTheme="minorEastAsia" w:hAnsiTheme="minorEastAsia" w:eastAsiaTheme="minorEastAsia"/>
        </w:rPr>
        <w:t>（2）具备高度的环境意识和环境保护事业赋予的责任感，有扎实的环境科学、环境工程方面的专业理论知识及解决实际环境问题的技能，熟知本专业的发展进程和学术动态，具有科技创新能力，具有独立从事科学研究、成果转化及工程设计的能力，毕业后能胜任本学科及相关学科的科研、实践、教学与管理工作。</w:t>
      </w:r>
    </w:p>
    <w:p>
      <w:pPr>
        <w:ind w:firstLine="420" w:firstLineChars="200"/>
        <w:rPr>
          <w:rStyle w:val="42"/>
          <w:rFonts w:asciiTheme="minorEastAsia" w:hAnsiTheme="minorEastAsia" w:eastAsiaTheme="minorEastAsia"/>
        </w:rPr>
      </w:pPr>
      <w:r>
        <w:rPr>
          <w:rStyle w:val="42"/>
          <w:rFonts w:asciiTheme="minorEastAsia" w:hAnsiTheme="minorEastAsia" w:eastAsiaTheme="minorEastAsia"/>
        </w:rPr>
        <w:t>（3）恪守学术道德、崇尚学术诚信，热爱科学研究，具备严谨的科研工作作风、勇攀科学高峰的钻研精神、良好的团队协作精神和一定的组织管理才能。</w:t>
      </w:r>
    </w:p>
    <w:p>
      <w:pPr>
        <w:spacing w:before="156" w:beforeLines="50" w:after="156" w:afterLines="50"/>
        <w:ind w:firstLine="420" w:firstLineChars="200"/>
        <w:rPr>
          <w:rFonts w:ascii="黑体" w:hAnsi="黑体" w:eastAsia="黑体" w:cs="Times New Roman"/>
          <w:szCs w:val="21"/>
        </w:rPr>
      </w:pPr>
      <w:r>
        <w:rPr>
          <w:rFonts w:ascii="黑体" w:hAnsi="黑体" w:eastAsia="黑体" w:cs="Times New Roman"/>
          <w:szCs w:val="21"/>
        </w:rPr>
        <w:t>3.</w:t>
      </w:r>
      <w:r>
        <w:rPr>
          <w:rFonts w:hint="eastAsia" w:ascii="黑体" w:hAnsi="黑体" w:eastAsia="黑体" w:cs="Times New Roman"/>
          <w:szCs w:val="21"/>
        </w:rPr>
        <w:t>人才的培养特色</w:t>
      </w:r>
    </w:p>
    <w:p>
      <w:pPr>
        <w:ind w:firstLine="420" w:firstLineChars="200"/>
        <w:rPr>
          <w:rStyle w:val="42"/>
          <w:rFonts w:asciiTheme="minorEastAsia" w:hAnsiTheme="minorEastAsia" w:eastAsiaTheme="minorEastAsia"/>
        </w:rPr>
      </w:pPr>
      <w:r>
        <w:rPr>
          <w:rStyle w:val="42"/>
          <w:rFonts w:hint="eastAsia" w:asciiTheme="minorEastAsia" w:hAnsiTheme="minorEastAsia" w:eastAsiaTheme="minorEastAsia"/>
        </w:rPr>
        <w:t>（1）环境科学、</w:t>
      </w:r>
      <w:r>
        <w:rPr>
          <w:rStyle w:val="42"/>
          <w:rFonts w:asciiTheme="minorEastAsia" w:hAnsiTheme="minorEastAsia" w:eastAsiaTheme="minorEastAsia"/>
        </w:rPr>
        <w:t>环境工程</w:t>
      </w:r>
      <w:r>
        <w:rPr>
          <w:rStyle w:val="42"/>
          <w:rFonts w:hint="eastAsia" w:asciiTheme="minorEastAsia" w:hAnsiTheme="minorEastAsia" w:eastAsiaTheme="minorEastAsia"/>
        </w:rPr>
        <w:t>融合发展，</w:t>
      </w:r>
      <w:r>
        <w:rPr>
          <w:rStyle w:val="42"/>
          <w:rFonts w:asciiTheme="minorEastAsia" w:hAnsiTheme="minorEastAsia" w:eastAsiaTheme="minorEastAsia"/>
        </w:rPr>
        <w:t>理科思维与工科</w:t>
      </w:r>
      <w:r>
        <w:rPr>
          <w:rStyle w:val="42"/>
          <w:rFonts w:hint="eastAsia" w:asciiTheme="minorEastAsia" w:hAnsiTheme="minorEastAsia" w:eastAsiaTheme="minorEastAsia"/>
        </w:rPr>
        <w:t>思维兼具。</w:t>
      </w:r>
    </w:p>
    <w:p>
      <w:pPr>
        <w:ind w:firstLine="420" w:firstLineChars="200"/>
        <w:rPr>
          <w:rFonts w:cs="等线" w:asciiTheme="minorEastAsia" w:hAnsiTheme="minorEastAsia"/>
          <w:szCs w:val="21"/>
        </w:rPr>
      </w:pPr>
      <w:r>
        <w:rPr>
          <w:rStyle w:val="42"/>
          <w:rFonts w:hint="eastAsia" w:asciiTheme="minorEastAsia" w:hAnsiTheme="minorEastAsia" w:eastAsiaTheme="minorEastAsia"/>
        </w:rPr>
        <w:t>（2）注重</w:t>
      </w:r>
      <w:r>
        <w:rPr>
          <w:rStyle w:val="42"/>
          <w:rFonts w:asciiTheme="minorEastAsia" w:hAnsiTheme="minorEastAsia" w:eastAsiaTheme="minorEastAsia"/>
        </w:rPr>
        <w:t>过程性培养，</w:t>
      </w:r>
      <w:r>
        <w:rPr>
          <w:rStyle w:val="42"/>
          <w:rFonts w:hint="eastAsia" w:asciiTheme="minorEastAsia" w:hAnsiTheme="minorEastAsia" w:eastAsiaTheme="minorEastAsia"/>
        </w:rPr>
        <w:t>明确</w:t>
      </w:r>
      <w:r>
        <w:rPr>
          <w:rStyle w:val="42"/>
          <w:rFonts w:asciiTheme="minorEastAsia" w:hAnsiTheme="minorEastAsia" w:eastAsiaTheme="minorEastAsia"/>
        </w:rPr>
        <w:t>退出分流机制，</w:t>
      </w:r>
      <w:r>
        <w:rPr>
          <w:rStyle w:val="42"/>
          <w:rFonts w:hint="eastAsia" w:asciiTheme="minorEastAsia" w:hAnsiTheme="minorEastAsia" w:eastAsiaTheme="minorEastAsia"/>
        </w:rPr>
        <w:t>导师</w:t>
      </w:r>
      <w:r>
        <w:rPr>
          <w:rStyle w:val="42"/>
          <w:rFonts w:asciiTheme="minorEastAsia" w:hAnsiTheme="minorEastAsia" w:eastAsiaTheme="minorEastAsia"/>
        </w:rPr>
        <w:t>指导与指导小组集体培养相结合。</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三、二级学科（专业）</w:t>
      </w:r>
      <w:r>
        <w:rPr>
          <w:rFonts w:ascii="Times New Roman" w:hAnsi="Times New Roman" w:cs="Times New Roman"/>
          <w:szCs w:val="21"/>
        </w:rPr>
        <w:t xml:space="preserve"> </w:t>
      </w:r>
    </w:p>
    <w:p>
      <w:pPr>
        <w:ind w:firstLine="420" w:firstLineChars="200"/>
        <w:rPr>
          <w:rStyle w:val="42"/>
          <w:rFonts w:asciiTheme="minorEastAsia" w:hAnsiTheme="minorEastAsia" w:eastAsiaTheme="minorEastAsia"/>
        </w:rPr>
      </w:pPr>
      <w:r>
        <w:rPr>
          <w:rStyle w:val="42"/>
          <w:rFonts w:asciiTheme="minorEastAsia" w:hAnsiTheme="minorEastAsia" w:eastAsiaTheme="minorEastAsia"/>
        </w:rPr>
        <w:t>1.环境科学（077601）</w:t>
      </w:r>
    </w:p>
    <w:p>
      <w:pPr>
        <w:ind w:firstLine="420" w:firstLineChars="200"/>
        <w:rPr>
          <w:rStyle w:val="42"/>
          <w:rFonts w:asciiTheme="minorEastAsia" w:hAnsiTheme="minorEastAsia" w:eastAsiaTheme="minorEastAsia"/>
        </w:rPr>
      </w:pPr>
      <w:r>
        <w:rPr>
          <w:rStyle w:val="42"/>
          <w:rFonts w:asciiTheme="minorEastAsia" w:hAnsiTheme="minorEastAsia" w:eastAsiaTheme="minorEastAsia"/>
        </w:rPr>
        <w:t>2.环境工程（083002）</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四、毕业与学位要求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60" w:lineRule="exact"/>
              <w:rPr>
                <w:rFonts w:ascii="Times New Roman" w:hAnsi="Times New Roman" w:cs="Times New Roman"/>
                <w:b/>
                <w:szCs w:val="21"/>
              </w:rPr>
            </w:pPr>
            <w:r>
              <w:rPr>
                <w:rFonts w:hint="eastAsia" w:ascii="Times New Roman" w:hAnsi="Times New Roman" w:cs="Times New Roman"/>
                <w:b/>
                <w:szCs w:val="21"/>
              </w:rPr>
              <w:t>毕业与学位授予要求（一级指标）</w:t>
            </w:r>
          </w:p>
        </w:tc>
        <w:tc>
          <w:tcPr>
            <w:tcW w:w="7230" w:type="dxa"/>
          </w:tcPr>
          <w:p>
            <w:pPr>
              <w:spacing w:line="400" w:lineRule="exact"/>
              <w:rPr>
                <w:rFonts w:ascii="Times New Roman" w:hAnsi="Times New Roman" w:cs="Times New Roman"/>
                <w:b/>
                <w:szCs w:val="21"/>
              </w:rPr>
            </w:pPr>
            <w:r>
              <w:rPr>
                <w:rFonts w:hint="eastAsia" w:ascii="Times New Roman" w:hAnsi="Times New Roman" w:cs="Times New Roman"/>
                <w:b/>
                <w:szCs w:val="21"/>
              </w:rPr>
              <w:t>二级指标点（观测点）及其内涵阐述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spacing w:line="400" w:lineRule="exact"/>
              <w:rPr>
                <w:rFonts w:ascii="Times New Roman" w:hAnsi="Times New Roman" w:cs="Times New Roman"/>
                <w:szCs w:val="21"/>
              </w:rPr>
            </w:pPr>
            <w:r>
              <w:rPr>
                <w:rFonts w:ascii="Times New Roman" w:hAnsi="Times New Roman" w:cs="Times New Roman"/>
                <w:szCs w:val="21"/>
              </w:rPr>
              <w:t>1.家国情怀</w:t>
            </w:r>
          </w:p>
        </w:tc>
        <w:tc>
          <w:tcPr>
            <w:tcW w:w="7230" w:type="dxa"/>
          </w:tcPr>
          <w:p>
            <w:pPr>
              <w:rPr>
                <w:rFonts w:ascii="Times New Roman" w:hAnsi="Times New Roman" w:cs="Times New Roman"/>
                <w:szCs w:val="21"/>
              </w:rPr>
            </w:pPr>
            <w:r>
              <w:rPr>
                <w:rFonts w:ascii="Times New Roman" w:hAnsi="Times New Roman" w:cs="Times New Roman"/>
                <w:szCs w:val="21"/>
              </w:rPr>
              <w:t>1.1 国家认同：融汇贯通环境学专业知识</w:t>
            </w:r>
            <w:r>
              <w:rPr>
                <w:rFonts w:ascii="Times New Roman" w:hAnsi="Times New Roman" w:cs="Times New Roman"/>
                <w:szCs w:val="21"/>
                <w:lang w:bidi="zh-CN"/>
              </w:rPr>
              <w:t>，实现全时空演化角度认识“四史”，认同新时代中国特色社会主义的价值观，自觉维护国家主权并落实到自身的研究中。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rPr>
                <w:rFonts w:ascii="Times New Roman" w:hAnsi="Times New Roman" w:cs="Times New Roman"/>
                <w:szCs w:val="21"/>
              </w:rPr>
            </w:pPr>
            <w:r>
              <w:rPr>
                <w:rFonts w:ascii="Times New Roman" w:hAnsi="Times New Roman" w:cs="Times New Roman"/>
                <w:szCs w:val="21"/>
              </w:rPr>
              <w:t>1.2 理想信念：</w:t>
            </w:r>
            <w:r>
              <w:rPr>
                <w:rFonts w:ascii="Times New Roman" w:hAnsi="Times New Roman" w:cs="Times New Roman"/>
                <w:szCs w:val="21"/>
                <w:lang w:bidi="zh-CN"/>
              </w:rPr>
              <w:t>能从参与重要科学研究的项目中，树立科学报国之志和服务中华民族伟大复兴中国梦的信念。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 xml:space="preserve">.3 </w:t>
            </w:r>
            <w:r>
              <w:rPr>
                <w:rFonts w:hint="eastAsia" w:ascii="Times New Roman" w:hAnsi="Times New Roman" w:cs="Times New Roman"/>
                <w:szCs w:val="21"/>
              </w:rPr>
              <w:t>立德树人：</w:t>
            </w:r>
            <w:r>
              <w:t>坚持党的领导，全面贯彻党的教育方针，以新时代中国特色社会主义思想为指导，坚持把立德树人作为根本任务。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spacing w:line="400" w:lineRule="exact"/>
              <w:rPr>
                <w:rFonts w:ascii="Times New Roman" w:hAnsi="Times New Roman" w:cs="Times New Roman"/>
                <w:szCs w:val="21"/>
              </w:rPr>
            </w:pPr>
            <w:r>
              <w:rPr>
                <w:rFonts w:ascii="Times New Roman" w:hAnsi="Times New Roman" w:cs="Times New Roman"/>
                <w:szCs w:val="21"/>
              </w:rPr>
              <w:t>2.学术能力</w:t>
            </w:r>
          </w:p>
        </w:tc>
        <w:tc>
          <w:tcPr>
            <w:tcW w:w="7230" w:type="dxa"/>
          </w:tcPr>
          <w:p>
            <w:pPr>
              <w:rPr>
                <w:rFonts w:ascii="Times New Roman" w:hAnsi="Times New Roman" w:cs="Times New Roman"/>
                <w:szCs w:val="21"/>
              </w:rPr>
            </w:pPr>
            <w:r>
              <w:rPr>
                <w:rFonts w:ascii="Times New Roman" w:hAnsi="Times New Roman" w:cs="Times New Roman"/>
                <w:szCs w:val="21"/>
              </w:rPr>
              <w:t xml:space="preserve">2.1 </w:t>
            </w:r>
            <w:r>
              <w:rPr>
                <w:rFonts w:ascii="Times New Roman" w:hAnsi="Times New Roman" w:cs="Times New Roman"/>
                <w:bCs/>
                <w:szCs w:val="21"/>
                <w:lang w:bidi="zh-CN"/>
              </w:rPr>
              <w:t>科学求真</w:t>
            </w:r>
            <w:r>
              <w:rPr>
                <w:rFonts w:ascii="Times New Roman" w:hAnsi="Times New Roman" w:cs="Times New Roman"/>
                <w:b/>
                <w:szCs w:val="21"/>
                <w:lang w:bidi="zh-CN"/>
              </w:rPr>
              <w:t>：</w:t>
            </w:r>
            <w:r>
              <w:rPr>
                <w:rFonts w:ascii="Times New Roman" w:hAnsi="Times New Roman" w:cs="Times New Roman"/>
                <w:szCs w:val="21"/>
                <w:lang w:bidi="zh-CN"/>
              </w:rPr>
              <w:t>追求</w:t>
            </w:r>
            <w:r>
              <w:rPr>
                <w:rFonts w:ascii="Times New Roman" w:hAnsi="Times New Roman" w:cs="Times New Roman"/>
                <w:szCs w:val="21"/>
              </w:rPr>
              <w:t>科学真理，具有求真务实的品质和严谨的科学态度，勤于钻研，勇攀高峰。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spacing w:before="100" w:beforeAutospacing="1" w:after="100" w:afterAutospacing="1"/>
              <w:rPr>
                <w:rFonts w:ascii="Times New Roman" w:hAnsi="Times New Roman" w:cs="Times New Roman"/>
                <w:szCs w:val="21"/>
              </w:rPr>
            </w:pPr>
            <w:r>
              <w:rPr>
                <w:rFonts w:ascii="Times New Roman" w:hAnsi="Times New Roman" w:cs="Times New Roman"/>
                <w:bCs/>
                <w:szCs w:val="21"/>
                <w:lang w:bidi="zh-CN"/>
              </w:rPr>
              <w:t>2.2 理论专精：具备系统深入的专业理论和广博的跨学科知识，具有敏锐感知学术前沿和发现新研究领域的能力。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spacing w:before="100" w:beforeAutospacing="1" w:after="100" w:afterAutospacing="1"/>
              <w:rPr>
                <w:rFonts w:ascii="Times New Roman" w:hAnsi="Times New Roman" w:cs="Times New Roman"/>
                <w:szCs w:val="21"/>
              </w:rPr>
            </w:pPr>
            <w:r>
              <w:rPr>
                <w:rFonts w:ascii="Times New Roman" w:hAnsi="Times New Roman" w:cs="Times New Roman"/>
                <w:szCs w:val="21"/>
              </w:rPr>
              <w:t>2.3 学术创新：具备批判性思维和创新思维素养，能独立开展创新性学术研究，取得突破性成果，推动专业发展，促进专业应用。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spacing w:line="400" w:lineRule="exact"/>
              <w:rPr>
                <w:rFonts w:ascii="Times New Roman" w:hAnsi="Times New Roman" w:cs="Times New Roman"/>
                <w:szCs w:val="21"/>
              </w:rPr>
            </w:pPr>
            <w:r>
              <w:rPr>
                <w:rFonts w:ascii="Times New Roman" w:hAnsi="Times New Roman" w:cs="Times New Roman"/>
                <w:szCs w:val="21"/>
              </w:rPr>
              <w:t>3.团队协作</w:t>
            </w:r>
          </w:p>
        </w:tc>
        <w:tc>
          <w:tcPr>
            <w:tcW w:w="7230" w:type="dxa"/>
          </w:tcPr>
          <w:p>
            <w:pPr>
              <w:rPr>
                <w:rFonts w:ascii="Times New Roman" w:hAnsi="Times New Roman" w:cs="Times New Roman"/>
                <w:szCs w:val="21"/>
              </w:rPr>
            </w:pPr>
            <w:r>
              <w:rPr>
                <w:rFonts w:ascii="Times New Roman" w:hAnsi="Times New Roman" w:cs="Times New Roman"/>
                <w:bCs/>
                <w:szCs w:val="21"/>
                <w:lang w:bidi="zh-CN"/>
              </w:rPr>
              <w:t>3.1领袖气质：</w:t>
            </w:r>
            <w:r>
              <w:rPr>
                <w:rFonts w:ascii="Times New Roman" w:hAnsi="Times New Roman" w:cs="Times New Roman"/>
                <w:szCs w:val="21"/>
                <w:lang w:bidi="zh-CN"/>
              </w:rPr>
              <w:t>具备领导组织团队协同攻关的能力，具备优秀的统筹、协调能力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spacing w:before="100" w:beforeAutospacing="1" w:after="100" w:afterAutospacing="1"/>
              <w:rPr>
                <w:rFonts w:ascii="Times New Roman" w:hAnsi="Times New Roman" w:cs="Times New Roman"/>
                <w:szCs w:val="21"/>
              </w:rPr>
            </w:pPr>
            <w:r>
              <w:rPr>
                <w:rFonts w:ascii="Times New Roman" w:hAnsi="Times New Roman" w:cs="Times New Roman"/>
                <w:bCs/>
                <w:szCs w:val="21"/>
                <w:lang w:bidi="zh-CN"/>
              </w:rPr>
              <w:t>3.2奉献精神：</w:t>
            </w:r>
            <w:r>
              <w:rPr>
                <w:rFonts w:ascii="Times New Roman" w:hAnsi="Times New Roman" w:cs="Times New Roman"/>
                <w:szCs w:val="21"/>
                <w:lang w:bidi="zh-CN"/>
              </w:rPr>
              <w:t>具备为了团队整体目标实现敢于牺牲自身利益，勇挑重担的奉献精神。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spacing w:line="400" w:lineRule="exact"/>
              <w:rPr>
                <w:rFonts w:ascii="Times New Roman" w:hAnsi="Times New Roman" w:cs="Times New Roman"/>
                <w:szCs w:val="21"/>
              </w:rPr>
            </w:pPr>
            <w:r>
              <w:rPr>
                <w:rFonts w:ascii="Times New Roman" w:hAnsi="Times New Roman" w:cs="Times New Roman"/>
                <w:szCs w:val="21"/>
              </w:rPr>
              <w:t>4.国际视野</w:t>
            </w:r>
          </w:p>
        </w:tc>
        <w:tc>
          <w:tcPr>
            <w:tcW w:w="7230" w:type="dxa"/>
          </w:tcPr>
          <w:p>
            <w:pPr>
              <w:rPr>
                <w:rFonts w:ascii="Times New Roman" w:hAnsi="Times New Roman" w:cs="Times New Roman"/>
                <w:bCs/>
                <w:szCs w:val="21"/>
                <w:lang w:bidi="zh-CN"/>
              </w:rPr>
            </w:pPr>
            <w:r>
              <w:rPr>
                <w:rFonts w:ascii="Times New Roman" w:hAnsi="Times New Roman" w:cs="Times New Roman"/>
                <w:bCs/>
                <w:szCs w:val="21"/>
                <w:lang w:bidi="zh-CN"/>
              </w:rPr>
              <w:t>4.1国际视野：能在全球视野下认识我国自然与社会生态环境问题的特殊性、复杂性。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spacing w:line="400" w:lineRule="exact"/>
              <w:rPr>
                <w:rFonts w:ascii="Times New Roman" w:hAnsi="Times New Roman" w:cs="Times New Roman"/>
                <w:szCs w:val="21"/>
              </w:rPr>
            </w:pPr>
          </w:p>
        </w:tc>
        <w:tc>
          <w:tcPr>
            <w:tcW w:w="7230" w:type="dxa"/>
          </w:tcPr>
          <w:p>
            <w:pPr>
              <w:spacing w:before="100" w:beforeAutospacing="1" w:after="100" w:afterAutospacing="1"/>
              <w:rPr>
                <w:rFonts w:ascii="Times New Roman" w:hAnsi="Times New Roman" w:cs="Times New Roman"/>
                <w:szCs w:val="21"/>
              </w:rPr>
            </w:pPr>
            <w:r>
              <w:rPr>
                <w:rFonts w:ascii="Times New Roman" w:hAnsi="Times New Roman" w:cs="Times New Roman"/>
                <w:bCs/>
                <w:szCs w:val="21"/>
                <w:lang w:bidi="zh-CN"/>
              </w:rPr>
              <w:t>4.2交流能力：了解国际学术前沿，主动参与国际学术会议，与国际学术权威顺畅交流。</w:t>
            </w:r>
          </w:p>
        </w:tc>
      </w:tr>
    </w:tbl>
    <w:p>
      <w:pPr>
        <w:ind w:firstLine="480" w:firstLineChars="200"/>
        <w:rPr>
          <w:rFonts w:ascii="Times New Roman" w:hAnsi="Times New Roman" w:eastAsia="黑体" w:cs="Times New Roman"/>
          <w:sz w:val="24"/>
          <w:szCs w:val="24"/>
        </w:rPr>
      </w:pPr>
    </w:p>
    <w:p>
      <w:pPr>
        <w:ind w:firstLine="480" w:firstLineChars="200"/>
        <w:rPr>
          <w:rFonts w:ascii="Times New Roman" w:hAnsi="Times New Roman" w:cs="Times New Roman"/>
          <w:szCs w:val="21"/>
        </w:rPr>
      </w:pPr>
      <w:r>
        <w:rPr>
          <w:rFonts w:ascii="Times New Roman" w:hAnsi="Times New Roman" w:eastAsia="黑体" w:cs="Times New Roman"/>
          <w:sz w:val="24"/>
          <w:szCs w:val="24"/>
        </w:rPr>
        <w:t>五、学习年限与培养方式</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1.学习年限</w:t>
      </w:r>
    </w:p>
    <w:p>
      <w:pPr>
        <w:ind w:firstLine="420" w:firstLineChars="200"/>
        <w:rPr>
          <w:rFonts w:ascii="Times New Roman" w:hAnsi="Times New Roman" w:cs="Times New Roman"/>
          <w:szCs w:val="21"/>
        </w:rPr>
      </w:pPr>
      <w:r>
        <w:rPr>
          <w:rFonts w:ascii="Times New Roman" w:hAnsi="Times New Roman" w:cs="Times New Roman"/>
          <w:szCs w:val="21"/>
        </w:rPr>
        <w:t xml:space="preserve">（1）普通博士研究生基本学习年限为4年，最长学习年限为6年。 </w:t>
      </w:r>
    </w:p>
    <w:p>
      <w:pPr>
        <w:ind w:firstLine="420" w:firstLineChars="200"/>
        <w:rPr>
          <w:rFonts w:ascii="Times New Roman" w:hAnsi="Times New Roman" w:cs="Times New Roman"/>
          <w:szCs w:val="21"/>
        </w:rPr>
      </w:pPr>
      <w:r>
        <w:rPr>
          <w:rFonts w:ascii="Times New Roman" w:hAnsi="Times New Roman" w:cs="Times New Roman"/>
          <w:szCs w:val="21"/>
        </w:rPr>
        <w:t>（2）硕博连读研究生基本学习年限为6年，最长学习年限为7年。</w:t>
      </w:r>
    </w:p>
    <w:p>
      <w:pPr>
        <w:ind w:firstLine="420" w:firstLineChars="200"/>
        <w:rPr>
          <w:rFonts w:ascii="Times New Roman" w:hAnsi="Times New Roman" w:cs="Times New Roman"/>
          <w:szCs w:val="21"/>
        </w:rPr>
      </w:pPr>
      <w:r>
        <w:rPr>
          <w:rFonts w:ascii="Times New Roman" w:hAnsi="Times New Roman" w:cs="Times New Roman"/>
          <w:szCs w:val="21"/>
        </w:rPr>
        <w:t xml:space="preserve">（3）本科直博研究生基本学习年限为5年，最长学习年限为7年。 </w:t>
      </w: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2.培养方式</w:t>
      </w:r>
    </w:p>
    <w:p>
      <w:pPr>
        <w:spacing w:before="156" w:beforeLines="50" w:after="156" w:afterLines="50"/>
        <w:ind w:firstLine="420" w:firstLineChars="200"/>
        <w:rPr>
          <w:rFonts w:cs="Times New Roman" w:asciiTheme="minorEastAsia" w:hAnsiTheme="minorEastAsia"/>
          <w:szCs w:val="21"/>
        </w:rPr>
      </w:pPr>
      <w:r>
        <w:rPr>
          <w:rStyle w:val="42"/>
          <w:rFonts w:cs="Times New Roman" w:asciiTheme="minorEastAsia" w:hAnsiTheme="minorEastAsia" w:eastAsiaTheme="minorEastAsia"/>
        </w:rPr>
        <w:t>博士研究生的培养实行导师指导和指导小组集体培养相结合；鼓励、支持和推动跨学科、跨专业的培养方式，在需要和可能的前提下，也可采取和国内外同行学者或学术单位联合培养的方式。</w:t>
      </w: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六、课程体系及学分要求</w:t>
      </w:r>
      <w:r>
        <w:rPr>
          <w:rFonts w:ascii="Times New Roman" w:hAnsi="Times New Roman" w:cs="Times New Roman"/>
          <w:szCs w:val="21"/>
        </w:rPr>
        <w:t xml:space="preserve"> </w:t>
      </w:r>
    </w:p>
    <w:p>
      <w:pPr>
        <w:spacing w:before="156" w:beforeLines="50" w:after="156" w:afterLines="50"/>
        <w:ind w:firstLine="420" w:firstLineChars="200"/>
        <w:rPr>
          <w:rFonts w:ascii="Times New Roman" w:hAnsi="Times New Roman" w:cs="Times New Roman"/>
          <w:sz w:val="18"/>
          <w:szCs w:val="18"/>
        </w:rPr>
      </w:pPr>
      <w:r>
        <w:rPr>
          <w:rFonts w:ascii="Times New Roman" w:hAnsi="Times New Roman" w:eastAsia="黑体" w:cs="Times New Roman"/>
          <w:szCs w:val="21"/>
        </w:rPr>
        <w:t>1.学分要求</w:t>
      </w:r>
    </w:p>
    <w:p>
      <w:pPr>
        <w:ind w:firstLine="420" w:firstLineChars="200"/>
        <w:rPr>
          <w:rFonts w:ascii="Times New Roman" w:hAnsi="Times New Roman" w:cs="Times New Roman"/>
          <w:szCs w:val="21"/>
        </w:rPr>
      </w:pPr>
      <w:r>
        <w:rPr>
          <w:rFonts w:ascii="Times New Roman" w:hAnsi="Times New Roman" w:cs="Times New Roman"/>
          <w:szCs w:val="21"/>
        </w:rPr>
        <w:t>（1）普通博士研究生修读总学分_13__。各类别学分要求如下：</w:t>
      </w:r>
    </w:p>
    <w:p>
      <w:pPr>
        <w:ind w:firstLine="420" w:firstLineChars="200"/>
        <w:rPr>
          <w:rFonts w:ascii="Times New Roman" w:hAnsi="Times New Roman" w:cs="Times New Roman"/>
          <w:szCs w:val="21"/>
        </w:rPr>
      </w:pPr>
      <w:r>
        <w:rPr>
          <w:rFonts w:ascii="Times New Roman" w:hAnsi="Times New Roman" w:cs="Times New Roman"/>
          <w:szCs w:val="21"/>
        </w:rPr>
        <w:t>学位公共课（必修）5学分，学位基础课_2__学分，学位专业课（必修）2学分，学位专业课（选修）2学分，跨一级学科课程2_学分。</w:t>
      </w:r>
    </w:p>
    <w:p>
      <w:pPr>
        <w:ind w:firstLine="420" w:firstLineChars="200"/>
        <w:rPr>
          <w:rFonts w:ascii="Times New Roman" w:hAnsi="Times New Roman" w:cs="Times New Roman"/>
          <w:szCs w:val="21"/>
        </w:rPr>
      </w:pPr>
      <w:r>
        <w:rPr>
          <w:rFonts w:ascii="Times New Roman" w:hAnsi="Times New Roman" w:cs="Times New Roman"/>
          <w:szCs w:val="21"/>
        </w:rPr>
        <w:t>（2）硕博连读研究生修读总学分：__23___。各类别学分要求如下：</w:t>
      </w:r>
    </w:p>
    <w:p>
      <w:pPr>
        <w:ind w:firstLine="420" w:firstLineChars="200"/>
        <w:rPr>
          <w:rFonts w:ascii="Times New Roman" w:hAnsi="Times New Roman" w:cs="Times New Roman"/>
          <w:szCs w:val="21"/>
        </w:rPr>
      </w:pPr>
      <w:r>
        <w:rPr>
          <w:rFonts w:ascii="Times New Roman" w:hAnsi="Times New Roman" w:cs="Times New Roman"/>
          <w:szCs w:val="21"/>
        </w:rPr>
        <w:t xml:space="preserve">学位公共课（必修）6学分，学位公共课（选修）_2_学分，学位基础课_4_学分，学位专业课（必修）__5__学分，学位专业课（选修）_4___学分，跨一级学科课程__2__学分。   </w:t>
      </w:r>
    </w:p>
    <w:p>
      <w:pPr>
        <w:ind w:firstLine="420" w:firstLineChars="200"/>
        <w:rPr>
          <w:rFonts w:ascii="Times New Roman" w:hAnsi="Times New Roman" w:cs="Times New Roman"/>
          <w:szCs w:val="21"/>
        </w:rPr>
      </w:pPr>
      <w:r>
        <w:rPr>
          <w:rFonts w:ascii="Times New Roman" w:hAnsi="Times New Roman" w:cs="Times New Roman"/>
          <w:szCs w:val="21"/>
        </w:rPr>
        <w:t>（3）本科直博研究生修读总学分__22__；各类别学分要求如下：</w:t>
      </w:r>
    </w:p>
    <w:p>
      <w:pPr>
        <w:ind w:firstLine="420" w:firstLineChars="200"/>
        <w:rPr>
          <w:rFonts w:ascii="Times New Roman" w:hAnsi="Times New Roman" w:cs="Times New Roman"/>
          <w:szCs w:val="21"/>
        </w:rPr>
      </w:pPr>
      <w:r>
        <w:rPr>
          <w:rFonts w:ascii="Times New Roman" w:hAnsi="Times New Roman" w:cs="Times New Roman"/>
          <w:szCs w:val="21"/>
        </w:rPr>
        <w:t>学位公共课（必修）5学分，学位公共课（选修）_2___学分，学位基础课_4_学分，学位专业课（必修）_5__学分，学位专业课（选修）_4__学分，跨一级学科课程_2__学分。</w:t>
      </w:r>
    </w:p>
    <w:p>
      <w:pPr>
        <w:ind w:firstLine="420" w:firstLineChars="200"/>
        <w:rPr>
          <w:rFonts w:ascii="Times New Roman" w:hAnsi="Times New Roman" w:cs="Times New Roman"/>
          <w:szCs w:val="21"/>
        </w:rPr>
      </w:pPr>
      <w:r>
        <w:rPr>
          <w:rFonts w:ascii="Times New Roman" w:hAnsi="Times New Roman" w:cs="Times New Roman"/>
          <w:szCs w:val="21"/>
        </w:rPr>
        <w:t>（4）补修课程要求：跨学科入学的研究生，应当在导师指导下补修本学科硕士研究生或本科专业的有关课程，所得学分记为非学位课程学分，不计入培养方案总学分。</w:t>
      </w:r>
    </w:p>
    <w:p>
      <w:pPr>
        <w:ind w:firstLine="420" w:firstLineChars="200"/>
        <w:rPr>
          <w:rFonts w:ascii="Times New Roman" w:hAnsi="Times New Roman" w:cs="Times New Roman"/>
          <w:szCs w:val="21"/>
        </w:rPr>
      </w:pPr>
      <w:r>
        <w:rPr>
          <w:rFonts w:ascii="Times New Roman" w:hAnsi="Times New Roman" w:cs="Times New Roman"/>
          <w:szCs w:val="21"/>
        </w:rPr>
        <w:t>（5）港澳台博士生可免修学位公共必修课《中国马克思主义与当代》，代之以修读《中国概况》。</w:t>
      </w:r>
    </w:p>
    <w:p>
      <w:pPr>
        <w:ind w:firstLine="420" w:firstLineChars="200"/>
        <w:rPr>
          <w:rFonts w:ascii="Times New Roman" w:hAnsi="Times New Roman" w:cs="Times New Roman"/>
          <w:szCs w:val="21"/>
        </w:rPr>
      </w:pPr>
      <w:r>
        <w:rPr>
          <w:rFonts w:ascii="Times New Roman" w:hAnsi="Times New Roman" w:cs="Times New Roman"/>
          <w:szCs w:val="21"/>
        </w:rPr>
        <w:t>（6）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2.课程体系</w:t>
      </w:r>
    </w:p>
    <w:tbl>
      <w:tblPr>
        <w:tblStyle w:val="14"/>
        <w:tblW w:w="9923" w:type="dxa"/>
        <w:tblInd w:w="-147" w:type="dxa"/>
        <w:tblLayout w:type="fixed"/>
        <w:tblCellMar>
          <w:top w:w="0" w:type="dxa"/>
          <w:left w:w="108" w:type="dxa"/>
          <w:bottom w:w="0" w:type="dxa"/>
          <w:right w:w="108" w:type="dxa"/>
        </w:tblCellMar>
      </w:tblPr>
      <w:tblGrid>
        <w:gridCol w:w="709"/>
        <w:gridCol w:w="1628"/>
        <w:gridCol w:w="3901"/>
        <w:gridCol w:w="567"/>
        <w:gridCol w:w="708"/>
        <w:gridCol w:w="709"/>
        <w:gridCol w:w="709"/>
        <w:gridCol w:w="992"/>
      </w:tblGrid>
      <w:tr>
        <w:tblPrEx>
          <w:tblCellMar>
            <w:top w:w="0" w:type="dxa"/>
            <w:left w:w="108" w:type="dxa"/>
            <w:bottom w:w="0" w:type="dxa"/>
            <w:right w:w="108" w:type="dxa"/>
          </w:tblCellMar>
        </w:tblPrEx>
        <w:trPr>
          <w:trHeight w:val="841" w:hRule="atLeast"/>
        </w:trPr>
        <w:tc>
          <w:tcPr>
            <w:tcW w:w="709" w:type="dxa"/>
            <w:tcBorders>
              <w:top w:val="single" w:color="auto" w:sz="4" w:space="0"/>
              <w:left w:val="single" w:color="auto" w:sz="4" w:space="0"/>
              <w:bottom w:val="single" w:color="auto" w:sz="6"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szCs w:val="21"/>
              </w:rPr>
              <w:t>课程</w:t>
            </w:r>
          </w:p>
          <w:p>
            <w:pPr>
              <w:rPr>
                <w:rFonts w:ascii="Times New Roman" w:hAnsi="Times New Roman" w:cs="Times New Roman"/>
                <w:b/>
                <w:szCs w:val="21"/>
              </w:rPr>
            </w:pPr>
            <w:r>
              <w:rPr>
                <w:rFonts w:ascii="Times New Roman" w:hAnsi="Times New Roman" w:cs="Times New Roman"/>
                <w:b/>
                <w:szCs w:val="21"/>
              </w:rPr>
              <w:t>类别</w:t>
            </w:r>
          </w:p>
        </w:tc>
        <w:tc>
          <w:tcPr>
            <w:tcW w:w="162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课程编号</w:t>
            </w:r>
          </w:p>
        </w:tc>
        <w:tc>
          <w:tcPr>
            <w:tcW w:w="3901"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课程中英文名称</w:t>
            </w:r>
          </w:p>
        </w:tc>
        <w:tc>
          <w:tcPr>
            <w:tcW w:w="567"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学分</w:t>
            </w:r>
          </w:p>
        </w:tc>
        <w:tc>
          <w:tcPr>
            <w:tcW w:w="70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开课</w:t>
            </w:r>
          </w:p>
          <w:p>
            <w:pPr>
              <w:jc w:val="center"/>
              <w:rPr>
                <w:rFonts w:ascii="Times New Roman" w:hAnsi="Times New Roman" w:cs="Times New Roman"/>
                <w:szCs w:val="21"/>
              </w:rPr>
            </w:pPr>
            <w:r>
              <w:rPr>
                <w:rFonts w:ascii="Times New Roman" w:hAnsi="Times New Roman" w:cs="Times New Roman"/>
                <w:b/>
                <w:szCs w:val="21"/>
              </w:rPr>
              <w:t>学期</w:t>
            </w:r>
          </w:p>
        </w:tc>
        <w:tc>
          <w:tcPr>
            <w:tcW w:w="709" w:type="dxa"/>
            <w:tcBorders>
              <w:top w:val="single" w:color="auto" w:sz="4" w:space="0"/>
              <w:left w:val="single" w:color="auto" w:sz="6" w:space="0"/>
              <w:bottom w:val="single" w:color="auto" w:sz="6" w:space="0"/>
              <w:right w:val="single" w:color="auto" w:sz="4" w:space="0"/>
            </w:tcBorders>
            <w:vAlign w:val="center"/>
          </w:tcPr>
          <w:p>
            <w:pPr>
              <w:rPr>
                <w:rFonts w:ascii="Times New Roman" w:hAnsi="Times New Roman" w:cs="Times New Roman"/>
                <w:b/>
                <w:szCs w:val="21"/>
              </w:rPr>
            </w:pPr>
            <w:r>
              <w:rPr>
                <w:rFonts w:ascii="Times New Roman" w:hAnsi="Times New Roman" w:cs="Times New Roman"/>
                <w:b/>
                <w:szCs w:val="21"/>
              </w:rPr>
              <w:t>普博</w:t>
            </w:r>
          </w:p>
        </w:tc>
        <w:tc>
          <w:tcPr>
            <w:tcW w:w="709" w:type="dxa"/>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硕博连读</w:t>
            </w:r>
          </w:p>
        </w:tc>
        <w:tc>
          <w:tcPr>
            <w:tcW w:w="992" w:type="dxa"/>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本科</w:t>
            </w:r>
          </w:p>
          <w:p>
            <w:pPr>
              <w:jc w:val="center"/>
              <w:rPr>
                <w:rFonts w:ascii="Times New Roman" w:hAnsi="Times New Roman" w:cs="Times New Roman"/>
                <w:b/>
                <w:szCs w:val="21"/>
              </w:rPr>
            </w:pPr>
            <w:r>
              <w:rPr>
                <w:rFonts w:ascii="Times New Roman" w:hAnsi="Times New Roman" w:cs="Times New Roman"/>
                <w:b/>
                <w:szCs w:val="21"/>
              </w:rPr>
              <w:t>直博</w:t>
            </w:r>
          </w:p>
        </w:tc>
      </w:tr>
      <w:tr>
        <w:tblPrEx>
          <w:tblCellMar>
            <w:top w:w="0" w:type="dxa"/>
            <w:left w:w="108" w:type="dxa"/>
            <w:bottom w:w="0" w:type="dxa"/>
            <w:right w:w="108" w:type="dxa"/>
          </w:tblCellMar>
        </w:tblPrEx>
        <w:trPr>
          <w:trHeight w:val="694" w:hRule="atLeast"/>
        </w:trPr>
        <w:tc>
          <w:tcPr>
            <w:tcW w:w="709" w:type="dxa"/>
            <w:vMerge w:val="restart"/>
            <w:tcBorders>
              <w:top w:val="single" w:color="auto" w:sz="6" w:space="0"/>
              <w:left w:val="single" w:color="auto" w:sz="4" w:space="0"/>
              <w:bottom w:val="single" w:color="auto" w:sz="4"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szCs w:val="21"/>
              </w:rPr>
              <w:t>学位公共课</w:t>
            </w:r>
          </w:p>
        </w:tc>
        <w:tc>
          <w:tcPr>
            <w:tcW w:w="162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sz w:val="18"/>
                <w:szCs w:val="18"/>
              </w:rPr>
              <w:t>TYKC0321101001</w:t>
            </w: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中国马克思主义与当代</w:t>
            </w:r>
          </w:p>
          <w:p>
            <w:pPr>
              <w:spacing w:line="260" w:lineRule="exact"/>
              <w:rPr>
                <w:rFonts w:ascii="Times New Roman" w:hAnsi="Times New Roman" w:cs="Times New Roman"/>
                <w:b/>
                <w:szCs w:val="21"/>
              </w:rPr>
            </w:pPr>
            <w:r>
              <w:rPr>
                <w:rFonts w:ascii="Times New Roman" w:hAnsi="Times New Roman" w:cs="Times New Roman"/>
                <w:sz w:val="18"/>
                <w:szCs w:val="18"/>
              </w:rPr>
              <w:t>Chinese Marxism and Contemporary World</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秋</w:t>
            </w:r>
          </w:p>
        </w:tc>
        <w:tc>
          <w:tcPr>
            <w:tcW w:w="709"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必选</w:t>
            </w:r>
          </w:p>
        </w:tc>
        <w:tc>
          <w:tcPr>
            <w:tcW w:w="709"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b/>
                <w:szCs w:val="21"/>
              </w:rPr>
            </w:pPr>
          </w:p>
        </w:tc>
        <w:tc>
          <w:tcPr>
            <w:tcW w:w="992"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必选</w:t>
            </w: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1628" w:type="dxa"/>
            <w:tcBorders>
              <w:top w:val="single" w:color="auto" w:sz="6" w:space="0"/>
              <w:left w:val="single" w:color="auto" w:sz="6" w:space="0"/>
              <w:bottom w:val="single" w:color="auto" w:sz="4" w:space="0"/>
              <w:right w:val="single" w:color="auto" w:sz="6" w:space="0"/>
            </w:tcBorders>
          </w:tcPr>
          <w:p>
            <w:pPr>
              <w:rPr>
                <w:rFonts w:ascii="Times New Roman" w:hAnsi="Times New Roman" w:cs="Times New Roman"/>
                <w:b/>
                <w:szCs w:val="21"/>
              </w:rPr>
            </w:pPr>
            <w:r>
              <w:rPr>
                <w:rFonts w:ascii="Times New Roman" w:hAnsi="Times New Roman" w:cs="Times New Roman"/>
                <w:sz w:val="18"/>
                <w:szCs w:val="18"/>
              </w:rPr>
              <w:t>TYKC0611101006</w:t>
            </w:r>
          </w:p>
        </w:tc>
        <w:tc>
          <w:tcPr>
            <w:tcW w:w="3901"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新时代中国特色社会主义理论与实践</w:t>
            </w:r>
          </w:p>
          <w:p>
            <w:pPr>
              <w:spacing w:line="260" w:lineRule="exact"/>
              <w:rPr>
                <w:rFonts w:ascii="Times New Roman" w:hAnsi="Times New Roman" w:cs="Times New Roman"/>
                <w:sz w:val="18"/>
                <w:szCs w:val="18"/>
              </w:rPr>
            </w:pPr>
            <w:r>
              <w:rPr>
                <w:rFonts w:ascii="Times New Roman" w:hAnsi="Times New Roman" w:cs="Times New Roman"/>
                <w:sz w:val="18"/>
                <w:szCs w:val="18"/>
              </w:rPr>
              <w:t>Theory and Practice of Socialism with Chinese characteristics in the new era</w:t>
            </w:r>
          </w:p>
        </w:tc>
        <w:tc>
          <w:tcPr>
            <w:tcW w:w="567" w:type="dxa"/>
            <w:tcBorders>
              <w:top w:val="single" w:color="auto" w:sz="6"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6"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color="auto" w:sz="6"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p>
        </w:tc>
        <w:tc>
          <w:tcPr>
            <w:tcW w:w="709" w:type="dxa"/>
            <w:tcBorders>
              <w:top w:val="single" w:color="auto" w:sz="6"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992"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1628" w:type="dxa"/>
            <w:tcBorders>
              <w:top w:val="single" w:color="auto" w:sz="4" w:space="0"/>
              <w:left w:val="single" w:color="auto" w:sz="6" w:space="0"/>
              <w:bottom w:val="single" w:color="auto" w:sz="4" w:space="0"/>
              <w:right w:val="single" w:color="auto" w:sz="6" w:space="0"/>
            </w:tcBorders>
          </w:tcPr>
          <w:p>
            <w:pPr>
              <w:rPr>
                <w:rFonts w:ascii="Times New Roman" w:hAnsi="Times New Roman" w:cs="Times New Roman"/>
                <w:sz w:val="18"/>
                <w:szCs w:val="18"/>
              </w:rPr>
            </w:pPr>
            <w:r>
              <w:rPr>
                <w:rFonts w:ascii="Times New Roman" w:hAnsi="Times New Roman" w:cs="Times New Roman"/>
                <w:sz w:val="18"/>
                <w:szCs w:val="18"/>
              </w:rPr>
              <w:t>TYKC0611101003</w:t>
            </w:r>
          </w:p>
        </w:tc>
        <w:tc>
          <w:tcPr>
            <w:tcW w:w="3901" w:type="dxa"/>
            <w:tcBorders>
              <w:top w:val="single" w:color="auto" w:sz="4"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自然辩证法</w:t>
            </w:r>
          </w:p>
          <w:p>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567"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color="auto" w:sz="4"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理工必选</w:t>
            </w:r>
          </w:p>
        </w:tc>
        <w:tc>
          <w:tcPr>
            <w:tcW w:w="992" w:type="dxa"/>
            <w:tcBorders>
              <w:top w:val="single" w:color="auto" w:sz="4"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外国语</w:t>
            </w:r>
          </w:p>
          <w:p>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春/秋</w:t>
            </w:r>
          </w:p>
        </w:tc>
        <w:tc>
          <w:tcPr>
            <w:tcW w:w="709"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709"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992"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研究伦理与学术规范类课程</w:t>
            </w:r>
          </w:p>
          <w:p>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709"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992"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481" w:hRule="atLeast"/>
        </w:trPr>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通识选修类课程</w:t>
            </w:r>
          </w:p>
        </w:tc>
        <w:tc>
          <w:tcPr>
            <w:tcW w:w="567"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c>
          <w:tcPr>
            <w:tcW w:w="992"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404" w:hRule="atLeast"/>
        </w:trPr>
        <w:tc>
          <w:tcPr>
            <w:tcW w:w="709" w:type="dxa"/>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b/>
                <w:szCs w:val="21"/>
              </w:rPr>
            </w:pPr>
          </w:p>
        </w:tc>
        <w:tc>
          <w:tcPr>
            <w:tcW w:w="9214" w:type="dxa"/>
            <w:gridSpan w:val="7"/>
            <w:tcBorders>
              <w:top w:val="single" w:color="auto" w:sz="4"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：普博生≥5学分； 硕博生≥8学分；本博生≥7学分；</w:t>
            </w:r>
          </w:p>
        </w:tc>
      </w:tr>
      <w:tr>
        <w:tblPrEx>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学位</w:t>
            </w:r>
          </w:p>
          <w:p>
            <w:pPr>
              <w:jc w:val="center"/>
              <w:rPr>
                <w:rFonts w:ascii="Times New Roman" w:hAnsi="Times New Roman" w:cs="Times New Roman"/>
                <w:szCs w:val="21"/>
              </w:rPr>
            </w:pPr>
            <w:r>
              <w:rPr>
                <w:rFonts w:ascii="Times New Roman" w:hAnsi="Times New Roman" w:cs="Times New Roman"/>
                <w:b/>
                <w:szCs w:val="21"/>
              </w:rPr>
              <w:t>基础课</w:t>
            </w:r>
          </w:p>
        </w:tc>
        <w:tc>
          <w:tcPr>
            <w:tcW w:w="1628"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ENSE3211102035</w:t>
            </w:r>
          </w:p>
        </w:tc>
        <w:tc>
          <w:tcPr>
            <w:tcW w:w="3901" w:type="dxa"/>
            <w:tcBorders>
              <w:top w:val="single" w:color="auto" w:sz="6" w:space="0"/>
              <w:left w:val="single" w:color="auto" w:sz="6" w:space="0"/>
              <w:bottom w:val="single" w:color="auto" w:sz="4"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环境科学与工程研究进展</w:t>
            </w:r>
          </w:p>
          <w:p>
            <w:pPr>
              <w:pStyle w:val="40"/>
              <w:jc w:val="left"/>
              <w:rPr>
                <w:rFonts w:ascii="Times New Roman" w:hAnsi="Times New Roman" w:cs="Times New Roman" w:eastAsiaTheme="minorEastAsia"/>
              </w:rPr>
            </w:pPr>
            <w:r>
              <w:rPr>
                <w:rFonts w:ascii="Times New Roman" w:hAnsi="Times New Roman" w:cs="Times New Roman" w:eastAsiaTheme="minorEastAsia"/>
              </w:rPr>
              <w:t>Research progress in Environmental Science and Engineering</w:t>
            </w:r>
          </w:p>
        </w:tc>
        <w:tc>
          <w:tcPr>
            <w:tcW w:w="567"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c>
          <w:tcPr>
            <w:tcW w:w="992"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szCs w:val="18"/>
              </w:rPr>
              <w:t>ENSE3211102058</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研究生科研素养必备</w:t>
            </w:r>
          </w:p>
          <w:p>
            <w:pPr>
              <w:pStyle w:val="40"/>
              <w:jc w:val="left"/>
              <w:rPr>
                <w:rFonts w:ascii="Times New Roman" w:hAnsi="Times New Roman" w:cs="Times New Roman" w:eastAsiaTheme="minorEastAsia"/>
              </w:rPr>
            </w:pPr>
            <w:r>
              <w:rPr>
                <w:rFonts w:ascii="Times New Roman" w:hAnsi="Times New Roman" w:cs="Times New Roman" w:eastAsiaTheme="minorEastAsia"/>
              </w:rPr>
              <w:t>How to Do Research</w:t>
            </w:r>
          </w:p>
        </w:tc>
        <w:tc>
          <w:tcPr>
            <w:tcW w:w="567"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rPr>
              <w:t>秋</w:t>
            </w: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c>
          <w:tcPr>
            <w:tcW w:w="992"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cs="Times New Roman"/>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Cs w:val="21"/>
              </w:rPr>
            </w:pPr>
            <w:r>
              <w:rPr>
                <w:rFonts w:ascii="Times New Roman" w:hAnsi="Times New Roman" w:cs="Times New Roman"/>
                <w:b/>
                <w:sz w:val="18"/>
                <w:szCs w:val="18"/>
              </w:rPr>
              <w:t xml:space="preserve">学分要求： </w:t>
            </w:r>
            <w:r>
              <w:rPr>
                <w:rFonts w:ascii="Times New Roman" w:hAnsi="Times New Roman" w:cs="Times New Roman"/>
                <w:sz w:val="18"/>
                <w:szCs w:val="18"/>
              </w:rPr>
              <w:t>普博生≥ 2 学分；硕博生/本博生≥4学分；</w:t>
            </w:r>
          </w:p>
        </w:tc>
      </w:tr>
      <w:tr>
        <w:tblPrEx>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b/>
                <w:szCs w:val="21"/>
              </w:rPr>
              <w:t>学位专业课（必修）</w:t>
            </w: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ENSE3211102051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环境土壤学原理</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Principles of Environmental Soil Science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实验室安全教育</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Laboratory Safety Education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ENSE3211102012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环境微生物学</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Environmental Microbiology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LXTY4211102030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环境毒理学</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Environmental Toxicology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ENSE3211102016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环境化学Environmental Chemistry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ME003211202012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现代环境监测技术</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Modern Environmental Monitoring 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ME003211202005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大气污染控制理论与技术</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Air Pollution Control Theories and Technologies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ME003211202010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水污染控制工程</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Water Pollution Control Engineering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ME003211202035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固体废弃物处理与处置</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Treatment and Resource Usage of Waste Solids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LXTY4211102029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环境分析化学</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Environmental and Analytical Chemistry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LXTY4211102036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河口海岸学</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Estuarine and Coastal Science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LXTY4211102035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河口海岸前沿技术</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Instruments and Operation Skills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LXTY4211102037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河口海岸研究进展</w:t>
            </w:r>
          </w:p>
          <w:p>
            <w:pPr>
              <w:pStyle w:val="40"/>
              <w:jc w:val="left"/>
              <w:rPr>
                <w:rFonts w:ascii="Times New Roman" w:hAnsi="Times New Roman" w:cs="Times New Roman" w:eastAsiaTheme="minorEastAsia"/>
                <w:szCs w:val="18"/>
              </w:rPr>
            </w:pPr>
            <w:r>
              <w:rPr>
                <w:rFonts w:ascii="Times New Roman" w:hAnsi="Times New Roman" w:cs="Times New Roman" w:eastAsiaTheme="minorEastAsia"/>
                <w:szCs w:val="18"/>
              </w:rPr>
              <w:t>Progress in Estuarine and Coastal Science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szCs w:val="18"/>
              </w:rPr>
            </w:pPr>
            <w:r>
              <w:rPr>
                <w:rFonts w:ascii="Times New Roman" w:hAnsi="Times New Roman" w:cs="Times New Roman" w:eastAsiaTheme="minorEastAsia"/>
                <w:szCs w:val="18"/>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szCs w:val="21"/>
              </w:rPr>
            </w:pPr>
          </w:p>
        </w:tc>
        <w:tc>
          <w:tcPr>
            <w:tcW w:w="9214" w:type="dxa"/>
            <w:gridSpan w:val="7"/>
            <w:tcBorders>
              <w:top w:val="single" w:color="auto" w:sz="4"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普博生≥ 2 学分；硕博生/本博生≥5学分；</w:t>
            </w:r>
          </w:p>
        </w:tc>
      </w:tr>
      <w:tr>
        <w:tblPrEx>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b/>
                <w:szCs w:val="21"/>
              </w:rPr>
              <w:t>学位专业课（选修）</w:t>
            </w:r>
          </w:p>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ENSE3211102023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河流健康与流域管理</w:t>
            </w:r>
          </w:p>
          <w:p>
            <w:pPr>
              <w:pStyle w:val="40"/>
              <w:jc w:val="left"/>
              <w:rPr>
                <w:rFonts w:ascii="Times New Roman" w:hAnsi="Times New Roman" w:cs="Times New Roman" w:eastAsiaTheme="minorEastAsia"/>
              </w:rPr>
            </w:pPr>
            <w:r>
              <w:rPr>
                <w:rFonts w:ascii="Times New Roman" w:hAnsi="Times New Roman" w:cs="Times New Roman" w:eastAsiaTheme="minorEastAsia"/>
              </w:rPr>
              <w:t>River Health and River Basin Management</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环境科学与工程专业外语</w:t>
            </w:r>
          </w:p>
          <w:p>
            <w:pPr>
              <w:pStyle w:val="40"/>
              <w:jc w:val="left"/>
              <w:rPr>
                <w:rFonts w:ascii="Times New Roman" w:hAnsi="Times New Roman" w:cs="Times New Roman" w:eastAsiaTheme="minorEastAsia"/>
              </w:rPr>
            </w:pPr>
            <w:r>
              <w:rPr>
                <w:rFonts w:ascii="Times New Roman" w:hAnsi="Times New Roman" w:cs="Times New Roman" w:eastAsiaTheme="minorEastAsia"/>
              </w:rPr>
              <w:t>English Course in Environmental Science and Engineering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ENSE3211102004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城市水资源管理与低影响开发响应Urban Water Resource Management and its Response to Low Impact Development</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ENSE3211102050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环境生理学</w:t>
            </w:r>
          </w:p>
          <w:p>
            <w:pPr>
              <w:pStyle w:val="40"/>
              <w:jc w:val="left"/>
              <w:rPr>
                <w:rFonts w:ascii="Times New Roman" w:hAnsi="Times New Roman" w:cs="Times New Roman" w:eastAsiaTheme="minorEastAsia"/>
              </w:rPr>
            </w:pPr>
            <w:r>
              <w:rPr>
                <w:rFonts w:ascii="Times New Roman" w:hAnsi="Times New Roman" w:cs="Times New Roman" w:eastAsiaTheme="minorEastAsia"/>
              </w:rPr>
              <w:t>Environmental Physiology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ENSE3221102001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环境化学学科前沿与展望</w:t>
            </w:r>
          </w:p>
          <w:p>
            <w:pPr>
              <w:pStyle w:val="40"/>
              <w:jc w:val="left"/>
              <w:rPr>
                <w:rFonts w:ascii="Times New Roman" w:hAnsi="Times New Roman" w:cs="Times New Roman" w:eastAsiaTheme="minorEastAsia"/>
              </w:rPr>
            </w:pPr>
            <w:r>
              <w:rPr>
                <w:rFonts w:ascii="Times New Roman" w:hAnsi="Times New Roman" w:cs="Times New Roman" w:eastAsiaTheme="minorEastAsia"/>
              </w:rPr>
              <w:t>Frontiers and Prospects for Environmental Chemistry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环境纳米科学与技术研究前沿</w:t>
            </w:r>
          </w:p>
          <w:p>
            <w:pPr>
              <w:pStyle w:val="40"/>
              <w:jc w:val="left"/>
              <w:rPr>
                <w:rFonts w:ascii="Times New Roman" w:hAnsi="Times New Roman" w:cs="Times New Roman" w:eastAsiaTheme="minorEastAsia"/>
              </w:rPr>
            </w:pPr>
            <w:r>
              <w:rPr>
                <w:rFonts w:ascii="Times New Roman" w:hAnsi="Times New Roman" w:cs="Times New Roman" w:eastAsiaTheme="minorEastAsia"/>
              </w:rPr>
              <w:t>Frontiers of Environmental Nano Science and 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ENSE3211102048</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生物质能源的开发与利用Development and Utilization of Biomass Energy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ENSE3211102014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生态毒理学原理与方法Fundamentals and Methods of Ecotoxicology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水的物化处理技术Physiochemical Water Treatment</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CHEM3011102026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近代电化学分析</w:t>
            </w:r>
          </w:p>
          <w:p>
            <w:pPr>
              <w:pStyle w:val="40"/>
              <w:jc w:val="left"/>
              <w:rPr>
                <w:rFonts w:ascii="Times New Roman" w:hAnsi="Times New Roman" w:cs="Times New Roman" w:eastAsiaTheme="minorEastAsia"/>
              </w:rPr>
            </w:pPr>
            <w:r>
              <w:rPr>
                <w:rFonts w:ascii="Times New Roman" w:hAnsi="Times New Roman" w:cs="Times New Roman" w:eastAsiaTheme="minorEastAsia"/>
              </w:rPr>
              <w:t>Advanced Electrochemistry and Electroanalysis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CHEM3011102061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光学分析与成像</w:t>
            </w:r>
          </w:p>
          <w:p>
            <w:pPr>
              <w:pStyle w:val="40"/>
              <w:jc w:val="left"/>
              <w:rPr>
                <w:rFonts w:ascii="Times New Roman" w:hAnsi="Times New Roman" w:cs="Times New Roman" w:eastAsiaTheme="minorEastAsia"/>
              </w:rPr>
            </w:pPr>
            <w:r>
              <w:rPr>
                <w:rFonts w:ascii="Times New Roman" w:hAnsi="Times New Roman" w:cs="Times New Roman" w:eastAsiaTheme="minorEastAsia"/>
              </w:rPr>
              <w:t>Advanced Optical Instrumental Analysis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水环境治理与修复的理论与工程实践</w:t>
            </w:r>
          </w:p>
          <w:p>
            <w:pPr>
              <w:pStyle w:val="40"/>
              <w:jc w:val="left"/>
              <w:rPr>
                <w:rFonts w:ascii="Times New Roman" w:hAnsi="Times New Roman" w:cs="Times New Roman" w:eastAsiaTheme="minorEastAsia"/>
              </w:rPr>
            </w:pPr>
            <w:r>
              <w:rPr>
                <w:rFonts w:ascii="Times New Roman" w:hAnsi="Times New Roman" w:cs="Times New Roman" w:eastAsiaTheme="minorEastAsia"/>
              </w:rPr>
              <w:t>Theories and Engineering of Water Environment Treatment and Restoration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ME003211202032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环境工程CAD设计</w:t>
            </w:r>
          </w:p>
          <w:p>
            <w:pPr>
              <w:pStyle w:val="40"/>
              <w:jc w:val="left"/>
              <w:rPr>
                <w:rFonts w:ascii="Times New Roman" w:hAnsi="Times New Roman" w:cs="Times New Roman" w:eastAsiaTheme="minorEastAsia"/>
              </w:rPr>
            </w:pPr>
            <w:r>
              <w:rPr>
                <w:rFonts w:ascii="Times New Roman" w:hAnsi="Times New Roman" w:cs="Times New Roman" w:eastAsiaTheme="minorEastAsia"/>
              </w:rPr>
              <w:t>Environmental Engineering and CAD</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ECOL3211102022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MATLAB编程基础与应用</w:t>
            </w:r>
          </w:p>
          <w:p>
            <w:pPr>
              <w:pStyle w:val="40"/>
              <w:jc w:val="left"/>
              <w:rPr>
                <w:rFonts w:ascii="Times New Roman" w:hAnsi="Times New Roman" w:cs="Times New Roman" w:eastAsiaTheme="minorEastAsia"/>
              </w:rPr>
            </w:pPr>
            <w:r>
              <w:rPr>
                <w:rFonts w:ascii="Times New Roman" w:hAnsi="Times New Roman" w:cs="Times New Roman" w:eastAsiaTheme="minorEastAsia"/>
              </w:rPr>
              <w:t>Basic Programming and Application of MATLAB</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ECOL3211102019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生态环境遥感</w:t>
            </w:r>
          </w:p>
          <w:p>
            <w:pPr>
              <w:pStyle w:val="40"/>
              <w:jc w:val="left"/>
              <w:rPr>
                <w:rFonts w:ascii="Times New Roman" w:hAnsi="Times New Roman" w:cs="Times New Roman" w:eastAsiaTheme="minorEastAsia"/>
              </w:rPr>
            </w:pPr>
            <w:r>
              <w:rPr>
                <w:rFonts w:ascii="Times New Roman" w:hAnsi="Times New Roman" w:cs="Times New Roman" w:eastAsiaTheme="minorEastAsia"/>
              </w:rPr>
              <w:t>Ecological Environment Remote Sensing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废水处理运行管理</w:t>
            </w:r>
          </w:p>
          <w:p>
            <w:pPr>
              <w:pStyle w:val="40"/>
              <w:jc w:val="left"/>
              <w:rPr>
                <w:rFonts w:ascii="Times New Roman" w:hAnsi="Times New Roman" w:cs="Times New Roman" w:eastAsiaTheme="minorEastAsia"/>
              </w:rPr>
            </w:pPr>
            <w:r>
              <w:rPr>
                <w:rFonts w:ascii="Times New Roman" w:hAnsi="Times New Roman" w:cs="Times New Roman" w:eastAsiaTheme="minorEastAsia"/>
              </w:rPr>
              <w:t>Regulation and Management of Wastewater Biological Treatment Systems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环境生物技术</w:t>
            </w:r>
          </w:p>
          <w:p>
            <w:pPr>
              <w:pStyle w:val="40"/>
              <w:jc w:val="left"/>
              <w:rPr>
                <w:rFonts w:ascii="Times New Roman" w:hAnsi="Times New Roman" w:cs="Times New Roman" w:eastAsiaTheme="minorEastAsia"/>
              </w:rPr>
            </w:pPr>
            <w:r>
              <w:rPr>
                <w:rFonts w:ascii="Times New Roman" w:hAnsi="Times New Roman" w:cs="Times New Roman" w:eastAsiaTheme="minorEastAsia"/>
              </w:rPr>
              <w:t>Environmental Biotechnology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ME003211202013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环境治理与修复技术</w:t>
            </w:r>
          </w:p>
          <w:p>
            <w:pPr>
              <w:pStyle w:val="40"/>
              <w:jc w:val="left"/>
              <w:rPr>
                <w:rFonts w:ascii="Times New Roman" w:hAnsi="Times New Roman" w:cs="Times New Roman" w:eastAsiaTheme="minorEastAsia"/>
              </w:rPr>
            </w:pPr>
            <w:r>
              <w:rPr>
                <w:rFonts w:ascii="Times New Roman" w:hAnsi="Times New Roman" w:cs="Times New Roman" w:eastAsiaTheme="minorEastAsia"/>
              </w:rPr>
              <w:t>Treatment and Remediation of Contaminated Environment</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环保机械与设备</w:t>
            </w:r>
          </w:p>
          <w:p>
            <w:pPr>
              <w:pStyle w:val="40"/>
              <w:jc w:val="left"/>
              <w:rPr>
                <w:rFonts w:ascii="Times New Roman" w:hAnsi="Times New Roman" w:cs="Times New Roman" w:eastAsiaTheme="minorEastAsia"/>
              </w:rPr>
            </w:pPr>
            <w:r>
              <w:rPr>
                <w:rFonts w:ascii="Times New Roman" w:hAnsi="Times New Roman" w:cs="Times New Roman" w:eastAsiaTheme="minorEastAsia"/>
              </w:rPr>
              <w:t>Mechanic and Equipment in Environmental Protection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废水高级生化处理</w:t>
            </w:r>
          </w:p>
          <w:p>
            <w:pPr>
              <w:pStyle w:val="40"/>
              <w:jc w:val="left"/>
              <w:rPr>
                <w:rFonts w:ascii="Times New Roman" w:hAnsi="Times New Roman" w:cs="Times New Roman" w:eastAsiaTheme="minorEastAsia"/>
              </w:rPr>
            </w:pPr>
            <w:r>
              <w:rPr>
                <w:rFonts w:ascii="Times New Roman" w:hAnsi="Times New Roman" w:cs="Times New Roman" w:eastAsiaTheme="minorEastAsia"/>
              </w:rPr>
              <w:t>Advanced Biological Wastewater Treatment</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环境分子生物学技术Environmental Molecular Biological 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ENSE3211102043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河流污染治理与修复-技术与案例</w:t>
            </w:r>
          </w:p>
          <w:p>
            <w:pPr>
              <w:pStyle w:val="40"/>
              <w:jc w:val="left"/>
              <w:rPr>
                <w:rFonts w:ascii="Times New Roman" w:hAnsi="Times New Roman" w:cs="Times New Roman" w:eastAsiaTheme="minorEastAsia"/>
              </w:rPr>
            </w:pPr>
            <w:r>
              <w:rPr>
                <w:rFonts w:ascii="Times New Roman" w:hAnsi="Times New Roman" w:cs="Times New Roman" w:eastAsiaTheme="minorEastAsia"/>
              </w:rPr>
              <w:t>The River Pollution Control and Remediation of Research</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污水污泥处理与处置工程Sewage Sludge Treatment and Disposal</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ENSE3211102038</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水处理电化学原理与技术</w:t>
            </w:r>
          </w:p>
          <w:p>
            <w:pPr>
              <w:pStyle w:val="40"/>
              <w:jc w:val="left"/>
              <w:rPr>
                <w:rFonts w:ascii="Times New Roman" w:hAnsi="Times New Roman" w:cs="Times New Roman" w:eastAsiaTheme="minorEastAsia"/>
              </w:rPr>
            </w:pPr>
            <w:r>
              <w:rPr>
                <w:rFonts w:ascii="Times New Roman" w:hAnsi="Times New Roman" w:cs="Times New Roman" w:eastAsiaTheme="minorEastAsia"/>
              </w:rPr>
              <w:t>Electrochemical Principles and Technology of Water Treatment 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MNSC4211102013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生物海洋学</w:t>
            </w:r>
          </w:p>
          <w:p>
            <w:pPr>
              <w:pStyle w:val="40"/>
              <w:jc w:val="left"/>
              <w:rPr>
                <w:rFonts w:ascii="Times New Roman" w:hAnsi="Times New Roman" w:cs="Times New Roman" w:eastAsiaTheme="minorEastAsia"/>
              </w:rPr>
            </w:pPr>
            <w:r>
              <w:rPr>
                <w:rFonts w:ascii="Times New Roman" w:hAnsi="Times New Roman" w:cs="Times New Roman" w:eastAsiaTheme="minorEastAsia"/>
              </w:rPr>
              <w:t>Biological Oceanography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MNSC4211102011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物理海洋学</w:t>
            </w:r>
          </w:p>
          <w:p>
            <w:pPr>
              <w:pStyle w:val="40"/>
              <w:jc w:val="left"/>
              <w:rPr>
                <w:rFonts w:ascii="Times New Roman" w:hAnsi="Times New Roman" w:cs="Times New Roman" w:eastAsiaTheme="minorEastAsia"/>
              </w:rPr>
            </w:pPr>
            <w:r>
              <w:rPr>
                <w:rFonts w:ascii="Times New Roman" w:hAnsi="Times New Roman" w:cs="Times New Roman" w:eastAsiaTheme="minorEastAsia"/>
              </w:rPr>
              <w:t>Physical Oceanography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LXTY4211102021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高等仪器分析</w:t>
            </w:r>
          </w:p>
          <w:p>
            <w:pPr>
              <w:pStyle w:val="40"/>
              <w:jc w:val="left"/>
              <w:rPr>
                <w:rFonts w:ascii="Times New Roman" w:hAnsi="Times New Roman" w:cs="Times New Roman" w:eastAsiaTheme="minorEastAsia"/>
              </w:rPr>
            </w:pPr>
            <w:r>
              <w:rPr>
                <w:rFonts w:ascii="Times New Roman" w:hAnsi="Times New Roman" w:cs="Times New Roman" w:eastAsiaTheme="minorEastAsia"/>
              </w:rPr>
              <w:t>The Advanced Instrumental Analysis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生态学基础</w:t>
            </w:r>
          </w:p>
          <w:p>
            <w:pPr>
              <w:pStyle w:val="40"/>
              <w:jc w:val="left"/>
              <w:rPr>
                <w:rFonts w:ascii="Times New Roman" w:hAnsi="Times New Roman" w:cs="Times New Roman" w:eastAsiaTheme="minorEastAsia"/>
              </w:rPr>
            </w:pPr>
            <w:r>
              <w:rPr>
                <w:rFonts w:ascii="Times New Roman" w:hAnsi="Times New Roman" w:cs="Times New Roman" w:eastAsiaTheme="minorEastAsia"/>
              </w:rPr>
              <w:t>Fundamentals of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LXTY4211102011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同位素示踪技术</w:t>
            </w:r>
          </w:p>
          <w:p>
            <w:pPr>
              <w:pStyle w:val="40"/>
              <w:jc w:val="left"/>
              <w:rPr>
                <w:rFonts w:ascii="Times New Roman" w:hAnsi="Times New Roman" w:cs="Times New Roman" w:eastAsiaTheme="minorEastAsia"/>
              </w:rPr>
            </w:pPr>
            <w:r>
              <w:rPr>
                <w:rFonts w:ascii="Times New Roman" w:hAnsi="Times New Roman" w:cs="Times New Roman" w:eastAsiaTheme="minorEastAsia"/>
              </w:rPr>
              <w:t>Technology of Isotope Tracer</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GEOG4211102002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河口海岸遥感</w:t>
            </w:r>
          </w:p>
          <w:p>
            <w:pPr>
              <w:pStyle w:val="40"/>
              <w:jc w:val="left"/>
              <w:rPr>
                <w:rFonts w:ascii="Times New Roman" w:hAnsi="Times New Roman" w:cs="Times New Roman" w:eastAsiaTheme="minorEastAsia"/>
              </w:rPr>
            </w:pPr>
            <w:r>
              <w:rPr>
                <w:rFonts w:ascii="Times New Roman" w:hAnsi="Times New Roman" w:cs="Times New Roman" w:eastAsiaTheme="minorEastAsia"/>
              </w:rPr>
              <w:t>Remote Sensing in Estuarine and Coasts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MNSC4221102006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河口海岸湿地生态</w:t>
            </w:r>
          </w:p>
          <w:p>
            <w:pPr>
              <w:pStyle w:val="40"/>
              <w:jc w:val="left"/>
              <w:rPr>
                <w:rFonts w:ascii="Times New Roman" w:hAnsi="Times New Roman" w:cs="Times New Roman" w:eastAsiaTheme="minorEastAsia"/>
              </w:rPr>
            </w:pPr>
            <w:r>
              <w:rPr>
                <w:rFonts w:ascii="Times New Roman" w:hAnsi="Times New Roman" w:cs="Times New Roman" w:eastAsiaTheme="minorEastAsia"/>
              </w:rPr>
              <w:t>Estuarine and Coastal Wetlands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MNSC4221102007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近海海洋化学</w:t>
            </w:r>
          </w:p>
          <w:p>
            <w:pPr>
              <w:pStyle w:val="40"/>
              <w:jc w:val="left"/>
              <w:rPr>
                <w:rFonts w:ascii="Times New Roman" w:hAnsi="Times New Roman" w:cs="Times New Roman" w:eastAsiaTheme="minorEastAsia"/>
              </w:rPr>
            </w:pPr>
            <w:r>
              <w:rPr>
                <w:rFonts w:ascii="Times New Roman" w:hAnsi="Times New Roman" w:cs="Times New Roman" w:eastAsiaTheme="minorEastAsia"/>
              </w:rPr>
              <w:t>Maine Chemistry in Coast Sea</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rPr>
              <w:t>GEOG4211102003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rPr>
            </w:pPr>
            <w:r>
              <w:rPr>
                <w:rFonts w:ascii="Times New Roman" w:hAnsi="Times New Roman" w:cs="Times New Roman" w:eastAsiaTheme="minorEastAsia"/>
              </w:rPr>
              <w:t>自然地理学前沿</w:t>
            </w:r>
          </w:p>
          <w:p>
            <w:pPr>
              <w:pStyle w:val="40"/>
              <w:jc w:val="left"/>
              <w:rPr>
                <w:rFonts w:ascii="Times New Roman" w:hAnsi="Times New Roman" w:cs="Times New Roman" w:eastAsiaTheme="minorEastAsia"/>
              </w:rPr>
            </w:pPr>
            <w:r>
              <w:rPr>
                <w:rFonts w:ascii="Times New Roman" w:hAnsi="Times New Roman" w:cs="Times New Roman" w:eastAsiaTheme="minorEastAsia"/>
              </w:rPr>
              <w:t>Frontier of Physical Geography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szCs w:val="18"/>
              </w:rPr>
              <w:t>ENSE3211102055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环境微生物基因组学与生信技术</w:t>
            </w:r>
          </w:p>
          <w:p>
            <w:pPr>
              <w:pStyle w:val="40"/>
              <w:jc w:val="left"/>
              <w:rPr>
                <w:rFonts w:ascii="Times New Roman" w:hAnsi="Times New Roman" w:cs="Times New Roman" w:eastAsiaTheme="minorEastAsia"/>
              </w:rPr>
            </w:pPr>
            <w:r>
              <w:rPr>
                <w:rFonts w:ascii="Times New Roman" w:hAnsi="Times New Roman" w:cs="Times New Roman" w:eastAsiaTheme="minorEastAsia"/>
                <w:color w:val="000000"/>
              </w:rPr>
              <w:t>Environmental microbial metagenomics and bioinformatic technologies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szCs w:val="18"/>
              </w:rPr>
              <w:t>ENSE3211102056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环境有机质谱</w:t>
            </w:r>
          </w:p>
          <w:p>
            <w:pPr>
              <w:pStyle w:val="40"/>
              <w:jc w:val="left"/>
              <w:rPr>
                <w:rFonts w:ascii="Times New Roman" w:hAnsi="Times New Roman" w:cs="Times New Roman" w:eastAsiaTheme="minorEastAsia"/>
              </w:rPr>
            </w:pPr>
            <w:r>
              <w:rPr>
                <w:rFonts w:ascii="Times New Roman" w:hAnsi="Times New Roman" w:cs="Times New Roman" w:eastAsiaTheme="minorEastAsia"/>
                <w:color w:val="000000"/>
              </w:rPr>
              <w:t>Environmental Organic Mass Spectrometry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szCs w:val="18"/>
              </w:rPr>
              <w:t>ENSE3211102057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color w:val="000000"/>
              </w:rPr>
            </w:pPr>
            <w:r>
              <w:rPr>
                <w:rFonts w:hint="eastAsia" w:ascii="Times New Roman" w:hAnsi="Times New Roman" w:cs="Times New Roman" w:eastAsiaTheme="minorEastAsia"/>
                <w:color w:val="000000"/>
              </w:rPr>
              <w:t>水污染控制高级氧化技术</w:t>
            </w:r>
          </w:p>
          <w:p>
            <w:pPr>
              <w:pStyle w:val="40"/>
              <w:jc w:val="left"/>
              <w:rPr>
                <w:rFonts w:ascii="Times New Roman" w:hAnsi="Times New Roman" w:cs="Times New Roman" w:eastAsiaTheme="minorEastAsia"/>
              </w:rPr>
            </w:pPr>
            <w:r>
              <w:rPr>
                <w:rFonts w:ascii="Times New Roman" w:hAnsi="Times New Roman" w:cs="Times New Roman" w:eastAsiaTheme="minorEastAsia"/>
                <w:color w:val="000000"/>
              </w:rPr>
              <w:t>Advanced Oxidation Processes for Water Pollution Control</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color w:val="000000"/>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rPr>
            </w:pPr>
            <w:r>
              <w:rPr>
                <w:rFonts w:ascii="Times New Roman" w:hAnsi="Times New Roman" w:cs="Times New Roman"/>
                <w:szCs w:val="18"/>
              </w:rPr>
              <w:t>ENSE3211102053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color w:val="000000"/>
              </w:rPr>
            </w:pPr>
            <w:r>
              <w:rPr>
                <w:rFonts w:ascii="Times New Roman" w:hAnsi="Times New Roman" w:cs="Times New Roman" w:eastAsiaTheme="minorEastAsia"/>
                <w:color w:val="000000"/>
              </w:rPr>
              <w:t>环境工程微生物学</w:t>
            </w:r>
          </w:p>
          <w:p>
            <w:pPr>
              <w:pStyle w:val="40"/>
              <w:jc w:val="left"/>
              <w:rPr>
                <w:rFonts w:ascii="Times New Roman" w:hAnsi="Times New Roman" w:cs="Times New Roman" w:eastAsiaTheme="minorEastAsia"/>
                <w:color w:val="000000"/>
              </w:rPr>
            </w:pPr>
            <w:r>
              <w:rPr>
                <w:rFonts w:ascii="Times New Roman" w:hAnsi="Times New Roman" w:cs="Times New Roman" w:eastAsiaTheme="minorEastAsia"/>
                <w:color w:val="000000"/>
              </w:rPr>
              <w:t>Environmental Engineering Microbiology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color w:val="000000"/>
              </w:rPr>
            </w:pPr>
            <w:r>
              <w:rPr>
                <w:rFonts w:hint="eastAsia" w:ascii="Times New Roman" w:hAnsi="Times New Roman"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rPr>
              <w:t>春</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right w:val="single" w:color="auto" w:sz="6" w:space="0"/>
            </w:tcBorders>
            <w:vAlign w:val="center"/>
          </w:tcPr>
          <w:p>
            <w:pPr>
              <w:jc w:val="center"/>
              <w:rPr>
                <w:rFonts w:ascii="Times New Roman" w:hAnsi="Times New Roman" w:cs="Times New Roman"/>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szCs w:val="18"/>
              </w:rPr>
            </w:pPr>
            <w:r>
              <w:rPr>
                <w:rFonts w:ascii="Times New Roman" w:hAnsi="Times New Roman" w:cs="Times New Roman"/>
                <w:szCs w:val="18"/>
              </w:rPr>
              <w:t>MRE03211202001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cs="Times New Roman" w:eastAsiaTheme="minorEastAsia"/>
                <w:color w:val="000000"/>
              </w:rPr>
            </w:pPr>
            <w:r>
              <w:rPr>
                <w:rFonts w:ascii="Times New Roman" w:hAnsi="Times New Roman" w:cs="Times New Roman" w:eastAsiaTheme="minorEastAsia"/>
                <w:color w:val="000000"/>
              </w:rPr>
              <w:t>数据统计分析与应用</w:t>
            </w:r>
          </w:p>
          <w:p>
            <w:pPr>
              <w:pStyle w:val="40"/>
              <w:jc w:val="left"/>
              <w:rPr>
                <w:rFonts w:ascii="Times New Roman" w:hAnsi="Times New Roman" w:cs="Times New Roman" w:eastAsiaTheme="minorEastAsia"/>
                <w:color w:val="000000"/>
              </w:rPr>
            </w:pPr>
            <w:r>
              <w:rPr>
                <w:rFonts w:ascii="Times New Roman" w:hAnsi="Times New Roman" w:cs="Times New Roman" w:eastAsiaTheme="minorEastAsia"/>
                <w:color w:val="000000"/>
              </w:rPr>
              <w:t>Application for Research Data Processing and Analyses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color w:val="000000"/>
              </w:rPr>
            </w:pPr>
            <w:r>
              <w:rPr>
                <w:rFonts w:hint="eastAsia" w:ascii="Times New Roman" w:hAnsi="Times New Roman"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cs="Times New Roman" w:eastAsiaTheme="minorEastAsia"/>
              </w:rPr>
            </w:pPr>
            <w:r>
              <w:rPr>
                <w:rFonts w:hint="eastAsia" w:ascii="Times New Roman" w:hAnsi="Times New Roman" w:cs="Times New Roman" w:eastAsiaTheme="minorEastAsia"/>
              </w:rPr>
              <w:t>秋</w:t>
            </w: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709"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c>
          <w:tcPr>
            <w:tcW w:w="992"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ind w:firstLine="904" w:firstLineChars="500"/>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 普博生≥ 2 学分；硕博生/本博生≥4学分</w:t>
            </w:r>
          </w:p>
        </w:tc>
      </w:tr>
      <w:tr>
        <w:tblPrEx>
          <w:tblCellMar>
            <w:top w:w="0" w:type="dxa"/>
            <w:left w:w="108" w:type="dxa"/>
            <w:bottom w:w="0" w:type="dxa"/>
            <w:right w:w="108" w:type="dxa"/>
          </w:tblCellMar>
        </w:tblPrEx>
        <w:tc>
          <w:tcPr>
            <w:tcW w:w="709" w:type="dxa"/>
            <w:vMerge w:val="restart"/>
            <w:tcBorders>
              <w:top w:val="single" w:color="auto" w:sz="4" w:space="0"/>
              <w:left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跨一级学科课程</w:t>
            </w:r>
          </w:p>
        </w:tc>
        <w:tc>
          <w:tcPr>
            <w:tcW w:w="1628" w:type="dxa"/>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 w:val="18"/>
                <w:szCs w:val="18"/>
              </w:rPr>
            </w:pPr>
          </w:p>
        </w:tc>
        <w:tc>
          <w:tcPr>
            <w:tcW w:w="390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 xml:space="preserve">跨一级学科选修课1 </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p>
        </w:tc>
        <w:tc>
          <w:tcPr>
            <w:tcW w:w="709"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c>
          <w:tcPr>
            <w:tcW w:w="709"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c>
          <w:tcPr>
            <w:tcW w:w="992"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r>
      <w:tr>
        <w:tblPrEx>
          <w:tblCellMar>
            <w:top w:w="0" w:type="dxa"/>
            <w:left w:w="108" w:type="dxa"/>
            <w:bottom w:w="0" w:type="dxa"/>
            <w:right w:w="108" w:type="dxa"/>
          </w:tblCellMar>
        </w:tblPrEx>
        <w:tc>
          <w:tcPr>
            <w:tcW w:w="709" w:type="dxa"/>
            <w:vMerge w:val="continue"/>
            <w:tcBorders>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：普博生/硕博生/本博生≥2学分</w:t>
            </w:r>
          </w:p>
        </w:tc>
      </w:tr>
      <w:tr>
        <w:tblPrEx>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非学位课程</w:t>
            </w:r>
          </w:p>
        </w:tc>
        <w:tc>
          <w:tcPr>
            <w:tcW w:w="9214" w:type="dxa"/>
            <w:gridSpan w:val="7"/>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color w:val="000000"/>
                <w:kern w:val="0"/>
                <w:sz w:val="18"/>
                <w:szCs w:val="18"/>
              </w:rPr>
              <w:t>修读培养方案要求以外的课程，如补修本专业本科课程等，不计入培养方案总学分。</w:t>
            </w:r>
          </w:p>
        </w:tc>
      </w:tr>
      <w:tr>
        <w:tblPrEx>
          <w:tblCellMar>
            <w:top w:w="0" w:type="dxa"/>
            <w:left w:w="108" w:type="dxa"/>
            <w:bottom w:w="0" w:type="dxa"/>
            <w:right w:w="108" w:type="dxa"/>
          </w:tblCellMar>
        </w:tblPrEx>
        <w:tc>
          <w:tcPr>
            <w:tcW w:w="2337" w:type="dxa"/>
            <w:gridSpan w:val="2"/>
            <w:vMerge w:val="restart"/>
            <w:tcBorders>
              <w:top w:val="single" w:color="auto" w:sz="4" w:space="0"/>
              <w:left w:val="single" w:color="auto" w:sz="4"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b/>
                <w:szCs w:val="21"/>
              </w:rPr>
              <w:t>总学分</w:t>
            </w:r>
          </w:p>
        </w:tc>
        <w:tc>
          <w:tcPr>
            <w:tcW w:w="390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普通博士研究生</w:t>
            </w:r>
          </w:p>
        </w:tc>
        <w:tc>
          <w:tcPr>
            <w:tcW w:w="3685" w:type="dxa"/>
            <w:gridSpan w:val="5"/>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≥_13__学分</w:t>
            </w:r>
          </w:p>
        </w:tc>
      </w:tr>
      <w:tr>
        <w:tblPrEx>
          <w:tblCellMar>
            <w:top w:w="0" w:type="dxa"/>
            <w:left w:w="108" w:type="dxa"/>
            <w:bottom w:w="0" w:type="dxa"/>
            <w:right w:w="108" w:type="dxa"/>
          </w:tblCellMar>
        </w:tblPrEx>
        <w:tc>
          <w:tcPr>
            <w:tcW w:w="2337" w:type="dxa"/>
            <w:gridSpan w:val="2"/>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sz w:val="18"/>
                <w:szCs w:val="18"/>
              </w:rPr>
            </w:pPr>
          </w:p>
        </w:tc>
        <w:tc>
          <w:tcPr>
            <w:tcW w:w="3901"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硕博连读研究生</w:t>
            </w:r>
          </w:p>
        </w:tc>
        <w:tc>
          <w:tcPr>
            <w:tcW w:w="3685" w:type="dxa"/>
            <w:gridSpan w:val="5"/>
            <w:tcBorders>
              <w:top w:val="single" w:color="auto" w:sz="6" w:space="0"/>
              <w:left w:val="single" w:color="auto" w:sz="6"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≥__23_学分</w:t>
            </w:r>
          </w:p>
        </w:tc>
      </w:tr>
      <w:tr>
        <w:tblPrEx>
          <w:tblCellMar>
            <w:top w:w="0" w:type="dxa"/>
            <w:left w:w="108" w:type="dxa"/>
            <w:bottom w:w="0" w:type="dxa"/>
            <w:right w:w="108" w:type="dxa"/>
          </w:tblCellMar>
        </w:tblPrEx>
        <w:tc>
          <w:tcPr>
            <w:tcW w:w="2337" w:type="dxa"/>
            <w:gridSpan w:val="2"/>
            <w:vMerge w:val="continue"/>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cs="Times New Roman"/>
                <w:sz w:val="18"/>
                <w:szCs w:val="18"/>
              </w:rPr>
            </w:pPr>
          </w:p>
        </w:tc>
        <w:tc>
          <w:tcPr>
            <w:tcW w:w="3901" w:type="dxa"/>
            <w:tcBorders>
              <w:top w:val="single" w:color="auto" w:sz="4" w:space="0"/>
              <w:left w:val="single" w:color="auto" w:sz="6" w:space="0"/>
              <w:bottom w:val="single" w:color="auto" w:sz="4"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本科直博研究生</w:t>
            </w:r>
          </w:p>
        </w:tc>
        <w:tc>
          <w:tcPr>
            <w:tcW w:w="3685" w:type="dxa"/>
            <w:gridSpan w:val="5"/>
            <w:tcBorders>
              <w:top w:val="single" w:color="auto" w:sz="4" w:space="0"/>
              <w:left w:val="single" w:color="auto" w:sz="6"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≥__22__学分</w:t>
            </w:r>
          </w:p>
        </w:tc>
      </w:tr>
    </w:tbl>
    <w:p>
      <w:pPr>
        <w:spacing w:before="156" w:beforeLines="50" w:after="156" w:afterLines="50"/>
        <w:rPr>
          <w:rFonts w:ascii="Times New Roman" w:hAnsi="Times New Roman" w:eastAsia="黑体" w:cs="Times New Roman"/>
          <w:sz w:val="24"/>
          <w:szCs w:val="24"/>
        </w:rPr>
      </w:pP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七、培养环节考核</w:t>
      </w:r>
      <w:r>
        <w:rPr>
          <w:rFonts w:ascii="Times New Roman" w:hAnsi="Times New Roman" w:cs="Times New Roman"/>
          <w:szCs w:val="21"/>
        </w:rPr>
        <w:t xml:space="preserve"> </w:t>
      </w:r>
    </w:p>
    <w:p>
      <w:pPr>
        <w:ind w:firstLine="420" w:firstLineChars="200"/>
        <w:rPr>
          <w:rFonts w:ascii="Times New Roman" w:hAnsi="Times New Roman" w:cs="Times New Roman"/>
          <w:sz w:val="18"/>
          <w:szCs w:val="18"/>
        </w:rPr>
      </w:pPr>
      <w:r>
        <w:rPr>
          <w:rFonts w:ascii="Times New Roman" w:hAnsi="Times New Roman" w:cs="Times New Roman"/>
          <w:szCs w:val="21"/>
        </w:rPr>
        <w:t>博士研究生培养环节包括年度报告、资格考试、开题报告、科研训练及学术活动、中期考核及论文预答辩，各环节考核时间安排详见下表（硕博连读一般为二年级申请，如果三年级申请硕转博学生，相应考核环节将顺延一年）</w:t>
      </w:r>
      <w:r>
        <w:rPr>
          <w:rFonts w:hint="eastAsia" w:ascii="Times New Roman" w:hAnsi="Times New Roman" w:cs="Times New Roman"/>
          <w:szCs w:val="21"/>
        </w:rPr>
        <w:t>，</w:t>
      </w:r>
      <w:r>
        <w:rPr>
          <w:rFonts w:ascii="Times New Roman" w:hAnsi="Times New Roman" w:cs="Times New Roman"/>
          <w:szCs w:val="21"/>
        </w:rPr>
        <w:t>各院系可结合自身情况适当调整各环节考核时间和考核方式</w:t>
      </w:r>
      <w:r>
        <w:rPr>
          <w:rFonts w:ascii="Times New Roman" w:hAnsi="Times New Roman" w:cs="Times New Roman"/>
          <w:sz w:val="18"/>
          <w:szCs w:val="18"/>
        </w:rPr>
        <w:t>。</w:t>
      </w:r>
    </w:p>
    <w:tbl>
      <w:tblPr>
        <w:tblStyle w:val="15"/>
        <w:tblpPr w:leftFromText="180" w:rightFromText="180" w:vertAnchor="text" w:horzAnchor="page" w:tblpXSpec="center" w:tblpY="361"/>
        <w:tblOverlap w:val="never"/>
        <w:tblW w:w="10346" w:type="dxa"/>
        <w:tblInd w:w="0" w:type="dxa"/>
        <w:tblBorders>
          <w:top w:val="single" w:color="4472C4" w:sz="2" w:space="0"/>
          <w:left w:val="single" w:color="4472C4" w:sz="2" w:space="0"/>
          <w:bottom w:val="single" w:color="4472C4" w:sz="2" w:space="0"/>
          <w:right w:val="single" w:color="4472C4" w:sz="2" w:space="0"/>
          <w:insideH w:val="single" w:color="4472C4" w:sz="2" w:space="0"/>
          <w:insideV w:val="single" w:color="4472C4" w:sz="2" w:space="0"/>
        </w:tblBorders>
        <w:tblLayout w:type="fixed"/>
        <w:tblCellMar>
          <w:top w:w="0" w:type="dxa"/>
          <w:left w:w="108" w:type="dxa"/>
          <w:bottom w:w="0" w:type="dxa"/>
          <w:right w:w="108" w:type="dxa"/>
        </w:tblCellMar>
      </w:tblPr>
      <w:tblGrid>
        <w:gridCol w:w="556"/>
        <w:gridCol w:w="442"/>
        <w:gridCol w:w="442"/>
        <w:gridCol w:w="1033"/>
        <w:gridCol w:w="1034"/>
        <w:gridCol w:w="1033"/>
        <w:gridCol w:w="986"/>
        <w:gridCol w:w="992"/>
        <w:gridCol w:w="992"/>
        <w:gridCol w:w="992"/>
        <w:gridCol w:w="426"/>
        <w:gridCol w:w="850"/>
        <w:gridCol w:w="568"/>
      </w:tblGrid>
      <w:tr>
        <w:tblPrEx>
          <w:tblBorders>
            <w:top w:val="single" w:color="4472C4" w:sz="2" w:space="0"/>
            <w:left w:val="single" w:color="4472C4" w:sz="2" w:space="0"/>
            <w:bottom w:val="single" w:color="4472C4" w:sz="2" w:space="0"/>
            <w:right w:val="single" w:color="4472C4" w:sz="2" w:space="0"/>
            <w:insideH w:val="single" w:color="4472C4" w:sz="2" w:space="0"/>
            <w:insideV w:val="single" w:color="4472C4" w:sz="2" w:space="0"/>
          </w:tblBorders>
          <w:tblCellMar>
            <w:top w:w="0" w:type="dxa"/>
            <w:left w:w="108" w:type="dxa"/>
            <w:bottom w:w="0" w:type="dxa"/>
            <w:right w:w="108" w:type="dxa"/>
          </w:tblCellMar>
        </w:tblPrEx>
        <w:trPr>
          <w:trHeight w:val="543" w:hRule="atLeast"/>
        </w:trPr>
        <w:tc>
          <w:tcPr>
            <w:tcW w:w="556"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学期</w:t>
            </w:r>
          </w:p>
        </w:tc>
        <w:tc>
          <w:tcPr>
            <w:tcW w:w="44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一</w:t>
            </w:r>
          </w:p>
        </w:tc>
        <w:tc>
          <w:tcPr>
            <w:tcW w:w="44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二</w:t>
            </w:r>
          </w:p>
        </w:tc>
        <w:tc>
          <w:tcPr>
            <w:tcW w:w="1033"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三</w:t>
            </w:r>
          </w:p>
        </w:tc>
        <w:tc>
          <w:tcPr>
            <w:tcW w:w="1034"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四</w:t>
            </w:r>
          </w:p>
        </w:tc>
        <w:tc>
          <w:tcPr>
            <w:tcW w:w="1033"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五</w:t>
            </w:r>
          </w:p>
        </w:tc>
        <w:tc>
          <w:tcPr>
            <w:tcW w:w="986"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六</w:t>
            </w: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七</w:t>
            </w: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八</w:t>
            </w: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九</w:t>
            </w:r>
          </w:p>
        </w:tc>
        <w:tc>
          <w:tcPr>
            <w:tcW w:w="426"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十</w:t>
            </w:r>
          </w:p>
        </w:tc>
        <w:tc>
          <w:tcPr>
            <w:tcW w:w="850"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十一</w:t>
            </w:r>
          </w:p>
        </w:tc>
        <w:tc>
          <w:tcPr>
            <w:tcW w:w="568"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十二</w:t>
            </w:r>
          </w:p>
        </w:tc>
      </w:tr>
      <w:tr>
        <w:tblPrEx>
          <w:tblBorders>
            <w:top w:val="single" w:color="4472C4" w:sz="2" w:space="0"/>
            <w:left w:val="single" w:color="4472C4" w:sz="2" w:space="0"/>
            <w:bottom w:val="single" w:color="4472C4" w:sz="2" w:space="0"/>
            <w:right w:val="single" w:color="4472C4" w:sz="2" w:space="0"/>
            <w:insideH w:val="single" w:color="4472C4" w:sz="2" w:space="0"/>
            <w:insideV w:val="single" w:color="4472C4" w:sz="2" w:space="0"/>
          </w:tblBorders>
          <w:tblCellMar>
            <w:top w:w="0" w:type="dxa"/>
            <w:left w:w="108" w:type="dxa"/>
            <w:bottom w:w="0" w:type="dxa"/>
            <w:right w:w="108" w:type="dxa"/>
          </w:tblCellMar>
        </w:tblPrEx>
        <w:trPr>
          <w:trHeight w:val="543" w:hRule="atLeast"/>
        </w:trPr>
        <w:tc>
          <w:tcPr>
            <w:tcW w:w="556"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普博生</w:t>
            </w:r>
          </w:p>
        </w:tc>
        <w:tc>
          <w:tcPr>
            <w:tcW w:w="442" w:type="dxa"/>
            <w:shd w:val="clear" w:color="auto" w:fill="DBE5F1"/>
            <w:vAlign w:val="center"/>
          </w:tcPr>
          <w:p>
            <w:pPr>
              <w:pStyle w:val="40"/>
              <w:jc w:val="center"/>
              <w:rPr>
                <w:rFonts w:ascii="Times New Roman" w:hAnsi="Times New Roman" w:cs="Times New Roman"/>
                <w:color w:val="000000"/>
              </w:rPr>
            </w:pPr>
          </w:p>
        </w:tc>
        <w:tc>
          <w:tcPr>
            <w:tcW w:w="442" w:type="dxa"/>
            <w:shd w:val="clear" w:color="auto" w:fill="DBE5F1"/>
            <w:vAlign w:val="center"/>
          </w:tcPr>
          <w:p>
            <w:pPr>
              <w:pStyle w:val="40"/>
              <w:jc w:val="center"/>
              <w:rPr>
                <w:rFonts w:ascii="Times New Roman" w:hAnsi="Times New Roman" w:cs="Times New Roman"/>
                <w:color w:val="000000"/>
              </w:rPr>
            </w:pPr>
          </w:p>
        </w:tc>
        <w:tc>
          <w:tcPr>
            <w:tcW w:w="1033"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资格考试年度考核</w:t>
            </w:r>
          </w:p>
        </w:tc>
        <w:tc>
          <w:tcPr>
            <w:tcW w:w="1034"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开题报告学术活动中期考核</w:t>
            </w:r>
          </w:p>
        </w:tc>
        <w:tc>
          <w:tcPr>
            <w:tcW w:w="1033"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tc>
        <w:tc>
          <w:tcPr>
            <w:tcW w:w="986" w:type="dxa"/>
            <w:shd w:val="clear" w:color="auto" w:fill="DBE5F1"/>
            <w:vAlign w:val="center"/>
          </w:tcPr>
          <w:p>
            <w:pPr>
              <w:pStyle w:val="40"/>
              <w:jc w:val="center"/>
              <w:rPr>
                <w:rFonts w:ascii="Times New Roman" w:hAnsi="Times New Roman" w:cs="Times New Roman"/>
                <w:color w:val="000000"/>
              </w:rPr>
            </w:pPr>
          </w:p>
        </w:tc>
        <w:tc>
          <w:tcPr>
            <w:tcW w:w="992"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p>
            <w:pPr>
              <w:pStyle w:val="40"/>
              <w:jc w:val="center"/>
              <w:rPr>
                <w:rFonts w:ascii="Times New Roman" w:hAnsi="Times New Roman" w:cs="Times New Roman"/>
                <w:color w:val="000000"/>
              </w:rPr>
            </w:pPr>
            <w:r>
              <w:rPr>
                <w:rFonts w:ascii="Times New Roman" w:hAnsi="Times New Roman" w:cs="Times New Roman"/>
                <w:color w:val="000000"/>
              </w:rPr>
              <w:t>预答辩</w:t>
            </w:r>
          </w:p>
        </w:tc>
        <w:tc>
          <w:tcPr>
            <w:tcW w:w="992"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答辩</w:t>
            </w:r>
          </w:p>
        </w:tc>
        <w:tc>
          <w:tcPr>
            <w:tcW w:w="992" w:type="dxa"/>
            <w:shd w:val="clear" w:color="auto" w:fill="DBE5F1"/>
            <w:vAlign w:val="center"/>
          </w:tcPr>
          <w:p>
            <w:pPr>
              <w:pStyle w:val="40"/>
              <w:jc w:val="center"/>
              <w:rPr>
                <w:rFonts w:ascii="Times New Roman" w:hAnsi="Times New Roman" w:cs="Times New Roman"/>
                <w:color w:val="000000"/>
              </w:rPr>
            </w:pPr>
          </w:p>
        </w:tc>
        <w:tc>
          <w:tcPr>
            <w:tcW w:w="426" w:type="dxa"/>
            <w:shd w:val="clear" w:color="auto" w:fill="DBE5F1"/>
            <w:vAlign w:val="center"/>
          </w:tcPr>
          <w:p>
            <w:pPr>
              <w:pStyle w:val="40"/>
              <w:jc w:val="center"/>
              <w:rPr>
                <w:rFonts w:ascii="Times New Roman" w:hAnsi="Times New Roman" w:cs="Times New Roman"/>
                <w:color w:val="000000"/>
              </w:rPr>
            </w:pPr>
          </w:p>
        </w:tc>
        <w:tc>
          <w:tcPr>
            <w:tcW w:w="850" w:type="dxa"/>
            <w:shd w:val="clear" w:color="auto" w:fill="DBE5F1"/>
            <w:vAlign w:val="center"/>
          </w:tcPr>
          <w:p>
            <w:pPr>
              <w:pStyle w:val="40"/>
              <w:jc w:val="center"/>
              <w:rPr>
                <w:rFonts w:ascii="Times New Roman" w:hAnsi="Times New Roman" w:cs="Times New Roman"/>
                <w:color w:val="000000"/>
              </w:rPr>
            </w:pPr>
          </w:p>
        </w:tc>
        <w:tc>
          <w:tcPr>
            <w:tcW w:w="568" w:type="dxa"/>
            <w:shd w:val="clear" w:color="auto" w:fill="DBE5F1"/>
            <w:vAlign w:val="center"/>
          </w:tcPr>
          <w:p>
            <w:pPr>
              <w:pStyle w:val="40"/>
              <w:jc w:val="center"/>
              <w:rPr>
                <w:rFonts w:ascii="Times New Roman" w:hAnsi="Times New Roman" w:cs="Times New Roman"/>
                <w:color w:val="000000"/>
              </w:rPr>
            </w:pPr>
          </w:p>
        </w:tc>
      </w:tr>
      <w:tr>
        <w:tblPrEx>
          <w:tblBorders>
            <w:top w:val="single" w:color="4472C4" w:sz="2" w:space="0"/>
            <w:left w:val="single" w:color="4472C4" w:sz="2" w:space="0"/>
            <w:bottom w:val="single" w:color="4472C4" w:sz="2" w:space="0"/>
            <w:right w:val="single" w:color="4472C4" w:sz="2" w:space="0"/>
            <w:insideH w:val="single" w:color="4472C4" w:sz="2" w:space="0"/>
            <w:insideV w:val="single" w:color="4472C4" w:sz="2" w:space="0"/>
          </w:tblBorders>
          <w:tblCellMar>
            <w:top w:w="0" w:type="dxa"/>
            <w:left w:w="108" w:type="dxa"/>
            <w:bottom w:w="0" w:type="dxa"/>
            <w:right w:w="108" w:type="dxa"/>
          </w:tblCellMar>
        </w:tblPrEx>
        <w:trPr>
          <w:trHeight w:val="543" w:hRule="atLeast"/>
        </w:trPr>
        <w:tc>
          <w:tcPr>
            <w:tcW w:w="556"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硕博生</w:t>
            </w:r>
          </w:p>
        </w:tc>
        <w:tc>
          <w:tcPr>
            <w:tcW w:w="44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硕士</w:t>
            </w:r>
          </w:p>
        </w:tc>
        <w:tc>
          <w:tcPr>
            <w:tcW w:w="44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硕士</w:t>
            </w:r>
          </w:p>
        </w:tc>
        <w:tc>
          <w:tcPr>
            <w:tcW w:w="1033"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硕士</w:t>
            </w:r>
          </w:p>
        </w:tc>
        <w:tc>
          <w:tcPr>
            <w:tcW w:w="1034"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硕士</w:t>
            </w:r>
          </w:p>
        </w:tc>
        <w:tc>
          <w:tcPr>
            <w:tcW w:w="1033" w:type="dxa"/>
            <w:shd w:val="clear" w:color="auto" w:fill="FFFFFF"/>
            <w:vAlign w:val="center"/>
          </w:tcPr>
          <w:p>
            <w:pPr>
              <w:pStyle w:val="40"/>
              <w:jc w:val="center"/>
              <w:rPr>
                <w:rFonts w:ascii="Times New Roman" w:hAnsi="Times New Roman" w:cs="Times New Roman"/>
                <w:color w:val="000000"/>
              </w:rPr>
            </w:pPr>
          </w:p>
        </w:tc>
        <w:tc>
          <w:tcPr>
            <w:tcW w:w="986" w:type="dxa"/>
            <w:shd w:val="clear" w:color="auto" w:fill="FFFFFF"/>
            <w:vAlign w:val="center"/>
          </w:tcPr>
          <w:p>
            <w:pPr>
              <w:pStyle w:val="40"/>
              <w:jc w:val="center"/>
              <w:rPr>
                <w:rFonts w:ascii="Times New Roman" w:hAnsi="Times New Roman" w:cs="Times New Roman"/>
                <w:color w:val="000000"/>
              </w:rPr>
            </w:pP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资格考试年度考核</w:t>
            </w: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开题报告学术活动中期考核</w:t>
            </w:r>
          </w:p>
        </w:tc>
        <w:tc>
          <w:tcPr>
            <w:tcW w:w="992"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tc>
        <w:tc>
          <w:tcPr>
            <w:tcW w:w="426" w:type="dxa"/>
            <w:shd w:val="clear" w:color="auto" w:fill="FFFFFF"/>
            <w:vAlign w:val="center"/>
          </w:tcPr>
          <w:p>
            <w:pPr>
              <w:pStyle w:val="40"/>
              <w:jc w:val="center"/>
              <w:rPr>
                <w:rFonts w:ascii="Times New Roman" w:hAnsi="Times New Roman" w:cs="Times New Roman"/>
                <w:color w:val="000000"/>
              </w:rPr>
            </w:pPr>
          </w:p>
        </w:tc>
        <w:tc>
          <w:tcPr>
            <w:tcW w:w="850"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p>
            <w:pPr>
              <w:pStyle w:val="40"/>
              <w:jc w:val="center"/>
              <w:rPr>
                <w:rFonts w:ascii="Times New Roman" w:hAnsi="Times New Roman" w:cs="Times New Roman"/>
                <w:color w:val="000000"/>
              </w:rPr>
            </w:pPr>
            <w:r>
              <w:rPr>
                <w:rFonts w:ascii="Times New Roman" w:hAnsi="Times New Roman" w:cs="Times New Roman"/>
                <w:color w:val="000000"/>
              </w:rPr>
              <w:t>预答辩</w:t>
            </w:r>
          </w:p>
        </w:tc>
        <w:tc>
          <w:tcPr>
            <w:tcW w:w="568" w:type="dxa"/>
            <w:shd w:val="clear" w:color="auto" w:fill="FFFFFF"/>
            <w:vAlign w:val="center"/>
          </w:tcPr>
          <w:p>
            <w:pPr>
              <w:pStyle w:val="40"/>
              <w:jc w:val="center"/>
              <w:rPr>
                <w:rFonts w:ascii="Times New Roman" w:hAnsi="Times New Roman" w:cs="Times New Roman"/>
                <w:color w:val="000000"/>
              </w:rPr>
            </w:pPr>
            <w:r>
              <w:rPr>
                <w:rFonts w:ascii="Times New Roman" w:hAnsi="Times New Roman" w:cs="Times New Roman"/>
                <w:color w:val="000000"/>
              </w:rPr>
              <w:t>答辩</w:t>
            </w:r>
          </w:p>
        </w:tc>
      </w:tr>
      <w:tr>
        <w:tblPrEx>
          <w:tblBorders>
            <w:top w:val="single" w:color="4472C4" w:sz="2" w:space="0"/>
            <w:left w:val="single" w:color="4472C4" w:sz="2" w:space="0"/>
            <w:bottom w:val="single" w:color="4472C4" w:sz="2" w:space="0"/>
            <w:right w:val="single" w:color="4472C4" w:sz="2" w:space="0"/>
            <w:insideH w:val="single" w:color="4472C4" w:sz="2" w:space="0"/>
            <w:insideV w:val="single" w:color="4472C4" w:sz="2" w:space="0"/>
          </w:tblBorders>
          <w:tblCellMar>
            <w:top w:w="0" w:type="dxa"/>
            <w:left w:w="108" w:type="dxa"/>
            <w:bottom w:w="0" w:type="dxa"/>
            <w:right w:w="108" w:type="dxa"/>
          </w:tblCellMar>
        </w:tblPrEx>
        <w:trPr>
          <w:trHeight w:val="543" w:hRule="atLeast"/>
        </w:trPr>
        <w:tc>
          <w:tcPr>
            <w:tcW w:w="556"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直博生</w:t>
            </w:r>
          </w:p>
        </w:tc>
        <w:tc>
          <w:tcPr>
            <w:tcW w:w="442" w:type="dxa"/>
            <w:shd w:val="clear" w:color="auto" w:fill="DBE5F1"/>
            <w:vAlign w:val="center"/>
          </w:tcPr>
          <w:p>
            <w:pPr>
              <w:pStyle w:val="40"/>
              <w:jc w:val="center"/>
              <w:rPr>
                <w:rFonts w:ascii="Times New Roman" w:hAnsi="Times New Roman" w:cs="Times New Roman"/>
                <w:color w:val="000000"/>
              </w:rPr>
            </w:pPr>
          </w:p>
        </w:tc>
        <w:tc>
          <w:tcPr>
            <w:tcW w:w="442" w:type="dxa"/>
            <w:shd w:val="clear" w:color="auto" w:fill="DBE5F1"/>
            <w:vAlign w:val="center"/>
          </w:tcPr>
          <w:p>
            <w:pPr>
              <w:pStyle w:val="40"/>
              <w:jc w:val="center"/>
              <w:rPr>
                <w:rFonts w:ascii="Times New Roman" w:hAnsi="Times New Roman" w:cs="Times New Roman"/>
                <w:color w:val="000000"/>
              </w:rPr>
            </w:pPr>
          </w:p>
        </w:tc>
        <w:tc>
          <w:tcPr>
            <w:tcW w:w="1033"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tc>
        <w:tc>
          <w:tcPr>
            <w:tcW w:w="1034" w:type="dxa"/>
            <w:shd w:val="clear" w:color="auto" w:fill="DBE5F1"/>
            <w:vAlign w:val="center"/>
          </w:tcPr>
          <w:p>
            <w:pPr>
              <w:pStyle w:val="40"/>
              <w:jc w:val="center"/>
              <w:rPr>
                <w:rFonts w:ascii="Times New Roman" w:hAnsi="Times New Roman" w:cs="Times New Roman"/>
                <w:color w:val="000000"/>
              </w:rPr>
            </w:pPr>
          </w:p>
        </w:tc>
        <w:tc>
          <w:tcPr>
            <w:tcW w:w="1033"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资格考试年度考核</w:t>
            </w:r>
          </w:p>
        </w:tc>
        <w:tc>
          <w:tcPr>
            <w:tcW w:w="986"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开题报告学术活动中期考核</w:t>
            </w:r>
          </w:p>
        </w:tc>
        <w:tc>
          <w:tcPr>
            <w:tcW w:w="992"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tc>
        <w:tc>
          <w:tcPr>
            <w:tcW w:w="992" w:type="dxa"/>
            <w:shd w:val="clear" w:color="auto" w:fill="DBE5F1"/>
            <w:vAlign w:val="center"/>
          </w:tcPr>
          <w:p>
            <w:pPr>
              <w:pStyle w:val="40"/>
              <w:jc w:val="center"/>
              <w:rPr>
                <w:rFonts w:ascii="Times New Roman" w:hAnsi="Times New Roman" w:cs="Times New Roman"/>
                <w:color w:val="000000"/>
              </w:rPr>
            </w:pPr>
          </w:p>
        </w:tc>
        <w:tc>
          <w:tcPr>
            <w:tcW w:w="992"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年度考核</w:t>
            </w:r>
          </w:p>
          <w:p>
            <w:pPr>
              <w:pStyle w:val="40"/>
              <w:jc w:val="center"/>
              <w:rPr>
                <w:rFonts w:ascii="Times New Roman" w:hAnsi="Times New Roman" w:cs="Times New Roman"/>
                <w:color w:val="000000"/>
              </w:rPr>
            </w:pPr>
            <w:r>
              <w:rPr>
                <w:rFonts w:ascii="Times New Roman" w:hAnsi="Times New Roman" w:cs="Times New Roman"/>
                <w:color w:val="000000"/>
              </w:rPr>
              <w:t>预答辩</w:t>
            </w:r>
          </w:p>
        </w:tc>
        <w:tc>
          <w:tcPr>
            <w:tcW w:w="426" w:type="dxa"/>
            <w:shd w:val="clear" w:color="auto" w:fill="DBE5F1"/>
            <w:vAlign w:val="center"/>
          </w:tcPr>
          <w:p>
            <w:pPr>
              <w:pStyle w:val="40"/>
              <w:jc w:val="center"/>
              <w:rPr>
                <w:rFonts w:ascii="Times New Roman" w:hAnsi="Times New Roman" w:cs="Times New Roman"/>
                <w:color w:val="000000"/>
              </w:rPr>
            </w:pPr>
            <w:r>
              <w:rPr>
                <w:rFonts w:ascii="Times New Roman" w:hAnsi="Times New Roman" w:cs="Times New Roman"/>
                <w:color w:val="000000"/>
              </w:rPr>
              <w:t>答辩</w:t>
            </w:r>
          </w:p>
        </w:tc>
        <w:tc>
          <w:tcPr>
            <w:tcW w:w="850" w:type="dxa"/>
            <w:shd w:val="clear" w:color="auto" w:fill="DBE5F1"/>
            <w:vAlign w:val="center"/>
          </w:tcPr>
          <w:p>
            <w:pPr>
              <w:pStyle w:val="40"/>
              <w:jc w:val="center"/>
              <w:rPr>
                <w:rFonts w:ascii="Times New Roman" w:hAnsi="Times New Roman" w:cs="Times New Roman"/>
                <w:color w:val="000000"/>
              </w:rPr>
            </w:pPr>
          </w:p>
        </w:tc>
        <w:tc>
          <w:tcPr>
            <w:tcW w:w="568" w:type="dxa"/>
            <w:shd w:val="clear" w:color="auto" w:fill="DBE5F1"/>
            <w:vAlign w:val="center"/>
          </w:tcPr>
          <w:p>
            <w:pPr>
              <w:pStyle w:val="40"/>
              <w:jc w:val="center"/>
              <w:rPr>
                <w:rFonts w:ascii="Times New Roman" w:hAnsi="Times New Roman" w:cs="Times New Roman"/>
                <w:color w:val="000000"/>
              </w:rPr>
            </w:pPr>
          </w:p>
        </w:tc>
      </w:tr>
    </w:tbl>
    <w:p>
      <w:pPr>
        <w:rPr>
          <w:rFonts w:ascii="Times New Roman" w:hAnsi="Times New Roman" w:cs="Times New Roman"/>
          <w:sz w:val="18"/>
          <w:szCs w:val="18"/>
        </w:rPr>
      </w:pPr>
    </w:p>
    <w:p>
      <w:pPr>
        <w:ind w:firstLine="360" w:firstLineChars="200"/>
        <w:rPr>
          <w:rFonts w:ascii="Times New Roman" w:hAnsi="Times New Roman" w:cs="Times New Roman"/>
          <w:sz w:val="18"/>
          <w:szCs w:val="18"/>
        </w:rPr>
      </w:pPr>
    </w:p>
    <w:p>
      <w:pPr>
        <w:spacing w:before="156" w:beforeLines="50" w:after="156" w:afterLines="50"/>
        <w:ind w:firstLine="420" w:firstLineChars="200"/>
        <w:rPr>
          <w:rFonts w:ascii="Times New Roman" w:hAnsi="Times New Roman" w:cs="Times New Roman"/>
          <w:szCs w:val="21"/>
        </w:rPr>
      </w:pPr>
      <w:r>
        <w:rPr>
          <w:rFonts w:ascii="Times New Roman" w:hAnsi="Times New Roman" w:eastAsia="黑体" w:cs="Times New Roman"/>
          <w:szCs w:val="21"/>
        </w:rPr>
        <w:t>1.年度报告</w:t>
      </w:r>
    </w:p>
    <w:p>
      <w:pPr>
        <w:ind w:firstLine="420" w:firstLineChars="200"/>
        <w:rPr>
          <w:rFonts w:ascii="Times New Roman" w:hAnsi="Times New Roman" w:cs="Times New Roman"/>
          <w:szCs w:val="21"/>
        </w:rPr>
      </w:pPr>
      <w:r>
        <w:rPr>
          <w:rFonts w:ascii="Times New Roman" w:hAnsi="Times New Roman" w:cs="Times New Roman"/>
          <w:szCs w:val="21"/>
        </w:rPr>
        <w:t>（1）考核要求</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取得博士学籍第二年开始，每年的10-11月份开展年度考核。</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博士研究生向导师及指导小组汇报一年来的学习与科研进展，填写《华东师范大学博士研究生学习与科研年度报告表》，经指导小组、所在单位签署意见后报研究生院备案。年度考核以PPT形式汇报，每人每次不少于20分钟。为避免重复汇报，当年有资格考试时，年度考核仅需填写《华东师范大学博士研究生学习与科研年度报告表》。</w:t>
      </w:r>
    </w:p>
    <w:p>
      <w:pPr>
        <w:ind w:firstLine="420" w:firstLineChars="200"/>
        <w:rPr>
          <w:rFonts w:ascii="Times New Roman" w:hAnsi="Times New Roman" w:cs="Times New Roman"/>
          <w:szCs w:val="21"/>
        </w:rPr>
      </w:pPr>
      <w:r>
        <w:rPr>
          <w:rFonts w:ascii="Times New Roman" w:hAnsi="Times New Roman" w:cs="Times New Roman"/>
          <w:szCs w:val="21"/>
        </w:rPr>
        <w:t>（2）考核结果及分流说明</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考核结果分为优秀、通过和暂缓通过。暂缓通过者，须在3个月内再次向考核小组汇报，再次汇报仍未通过者，培养单位、考核小组和导师共同决定其是否适合继续攻读博士学位。对考试结果质疑者在考试结果公布一周内可向所在培养单位提出申诉。</w:t>
      </w: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2.资格考试</w:t>
      </w:r>
    </w:p>
    <w:p>
      <w:pPr>
        <w:ind w:firstLine="420" w:firstLineChars="200"/>
        <w:rPr>
          <w:rFonts w:ascii="Times New Roman" w:hAnsi="Times New Roman" w:cs="Times New Roman"/>
          <w:szCs w:val="21"/>
        </w:rPr>
      </w:pPr>
      <w:r>
        <w:rPr>
          <w:rFonts w:ascii="Times New Roman" w:hAnsi="Times New Roman" w:cs="Times New Roman"/>
          <w:szCs w:val="21"/>
        </w:rPr>
        <w:t>（1）准入条件</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博士研究生在课程学习结束，修满本专业规定的学分后，方可申请参加资格考试。</w:t>
      </w:r>
    </w:p>
    <w:p>
      <w:pPr>
        <w:ind w:firstLine="420" w:firstLineChars="200"/>
        <w:rPr>
          <w:rFonts w:ascii="Times New Roman" w:hAnsi="Times New Roman" w:cs="Times New Roman"/>
          <w:szCs w:val="21"/>
        </w:rPr>
      </w:pPr>
      <w:r>
        <w:rPr>
          <w:rFonts w:ascii="Times New Roman" w:hAnsi="Times New Roman" w:cs="Times New Roman"/>
          <w:szCs w:val="21"/>
        </w:rPr>
        <w:t>（2）考核要求</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普博生、硕博生（取得博士学籍后开始算）一般在第二学年第一学期进行，直博生一般在第三学年第一学期进行。因特殊情况未能按时参加者，经院系批准后，报研究生院备案。</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资格考试由院系统一组织，各院系应成立资格考试委员会，资格考试委员会由分委会指定至少5名博士生导师或具有正高级专业技术职务的专家组成，设主任1名，另设秘书1名。资格考试以二级学科为单位开展，设立资格考试小组，由导师在内的5名博士生导师或具有正高级专业技术职务的专家组成，资格考试包括基础理论和专业知识以及前沿知识、主要研究方法和手段，由本专业博士学位候选人资格考试小组进行考核。资格考试包括笔试和综合考试两部分，其中笔试成绩占30%，综合考试成绩占70%。</w:t>
      </w:r>
    </w:p>
    <w:p>
      <w:pPr>
        <w:pStyle w:val="8"/>
        <w:numPr>
          <w:ilvl w:val="0"/>
          <w:numId w:val="1"/>
        </w:numPr>
        <w:tabs>
          <w:tab w:val="left" w:pos="0"/>
        </w:tabs>
        <w:adjustRightInd w:val="0"/>
        <w:rPr>
          <w:rStyle w:val="42"/>
          <w:rFonts w:ascii="Times New Roman" w:hAnsi="Times New Roman" w:cs="Times New Roman" w:eastAsiaTheme="minorEastAsia"/>
        </w:rPr>
      </w:pPr>
      <w:r>
        <w:rPr>
          <w:rStyle w:val="42"/>
          <w:rFonts w:ascii="Times New Roman" w:hAnsi="Times New Roman" w:cs="Times New Roman" w:eastAsiaTheme="minorEastAsia"/>
        </w:rPr>
        <w:t>笔试</w:t>
      </w:r>
    </w:p>
    <w:p>
      <w:pPr>
        <w:pStyle w:val="8"/>
        <w:tabs>
          <w:tab w:val="left" w:pos="0"/>
        </w:tabs>
        <w:adjustRightInd w:val="0"/>
        <w:rPr>
          <w:rStyle w:val="42"/>
          <w:rFonts w:ascii="Times New Roman" w:hAnsi="Times New Roman" w:cs="Times New Roman" w:eastAsiaTheme="minorEastAsia"/>
        </w:rPr>
      </w:pPr>
      <w:r>
        <w:rPr>
          <w:rStyle w:val="42"/>
          <w:rFonts w:ascii="Times New Roman" w:hAnsi="Times New Roman" w:cs="Times New Roman" w:eastAsiaTheme="minorEastAsia"/>
        </w:rPr>
        <w:tab/>
      </w:r>
      <w:r>
        <w:rPr>
          <w:rStyle w:val="42"/>
          <w:rFonts w:ascii="Times New Roman" w:hAnsi="Times New Roman" w:cs="Times New Roman" w:eastAsiaTheme="minorEastAsia"/>
        </w:rPr>
        <w:t>撰写一篇关于拟开展的博士论文研究领域的综述。需要包括以下主要方面：研究主题的理论背景、研究取得的进展、主要学术观点、存在的主要研究不足和期待解决的重点问题等，不少于4000字。在规定时间前提交给导师，由导师打分作为笔试成绩（满分100分计）。</w:t>
      </w:r>
    </w:p>
    <w:p>
      <w:pPr>
        <w:pStyle w:val="8"/>
        <w:numPr>
          <w:ilvl w:val="0"/>
          <w:numId w:val="1"/>
        </w:numPr>
        <w:tabs>
          <w:tab w:val="left" w:pos="0"/>
        </w:tabs>
        <w:adjustRightInd w:val="0"/>
        <w:rPr>
          <w:rStyle w:val="42"/>
          <w:rFonts w:ascii="Times New Roman" w:hAnsi="Times New Roman" w:cs="Times New Roman" w:eastAsiaTheme="minorEastAsia"/>
        </w:rPr>
      </w:pPr>
      <w:r>
        <w:rPr>
          <w:rStyle w:val="42"/>
          <w:rFonts w:ascii="Times New Roman" w:hAnsi="Times New Roman" w:cs="Times New Roman" w:eastAsiaTheme="minorEastAsia"/>
        </w:rPr>
        <w:t>综合考试</w:t>
      </w:r>
    </w:p>
    <w:p>
      <w:pPr>
        <w:pStyle w:val="8"/>
        <w:tabs>
          <w:tab w:val="left" w:pos="0"/>
        </w:tabs>
        <w:adjustRightInd w:val="0"/>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综合考试采用PPT汇报答辩的形式，其中汇报20分钟，考试小组专家提问10分钟。汇报应包括以下内容：在读期间所参与研究课题的内容，博士论文开题的准备和（或）研究进度，博士论文研究相关的实验设计和现代科学技术手段的使用情况，所受的写作、统计和逻辑能力训练及进一步的学习计划等。此部分成绩由考试小组专家给予评分（满分100分计）。</w:t>
      </w:r>
    </w:p>
    <w:p>
      <w:pPr>
        <w:pStyle w:val="8"/>
        <w:tabs>
          <w:tab w:val="left" w:pos="0"/>
        </w:tabs>
        <w:adjustRightInd w:val="0"/>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总成绩=笔试×30%+综合考试×70%。</w:t>
      </w:r>
    </w:p>
    <w:p>
      <w:pPr>
        <w:pStyle w:val="8"/>
        <w:tabs>
          <w:tab w:val="left" w:pos="0"/>
        </w:tabs>
        <w:adjustRightInd w:val="0"/>
        <w:ind w:firstLine="420" w:firstLineChars="200"/>
        <w:rPr>
          <w:rFonts w:ascii="Times New Roman" w:hAnsi="Times New Roman" w:eastAsiaTheme="minorEastAsia"/>
          <w:szCs w:val="21"/>
        </w:rPr>
      </w:pPr>
      <w:r>
        <w:rPr>
          <w:rStyle w:val="42"/>
          <w:rFonts w:ascii="Times New Roman" w:hAnsi="Times New Roman" w:cs="Times New Roman" w:eastAsiaTheme="minorEastAsia"/>
        </w:rPr>
        <w:t>考试委员会根据博士生的考试成绩做出评价并写出评语，由学位点责任教授签署意见，最终确定其是否通过考试。考试结果于考试结束后两周内公布，并报研究生院备案。</w:t>
      </w:r>
    </w:p>
    <w:p>
      <w:pPr>
        <w:ind w:firstLine="420" w:firstLineChars="200"/>
        <w:rPr>
          <w:rFonts w:ascii="Times New Roman" w:hAnsi="Times New Roman" w:cs="Times New Roman"/>
          <w:szCs w:val="21"/>
        </w:rPr>
      </w:pPr>
      <w:r>
        <w:rPr>
          <w:rFonts w:ascii="Times New Roman" w:hAnsi="Times New Roman" w:cs="Times New Roman"/>
          <w:szCs w:val="21"/>
        </w:rPr>
        <w:t>（3）考核结果及分流说明</w:t>
      </w:r>
    </w:p>
    <w:p>
      <w:pPr>
        <w:pStyle w:val="8"/>
        <w:tabs>
          <w:tab w:val="left" w:pos="0"/>
        </w:tabs>
        <w:adjustRightInd w:val="0"/>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资格考试的结果分为通过和不通过。</w:t>
      </w:r>
    </w:p>
    <w:p>
      <w:pPr>
        <w:pStyle w:val="8"/>
        <w:numPr>
          <w:ilvl w:val="0"/>
          <w:numId w:val="2"/>
        </w:numPr>
        <w:tabs>
          <w:tab w:val="left" w:pos="0"/>
        </w:tabs>
        <w:adjustRightInd w:val="0"/>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资格考试通过者成为博士学位候选人，进入学位论文开题和撰写阶段。</w:t>
      </w:r>
    </w:p>
    <w:p>
      <w:pPr>
        <w:pStyle w:val="8"/>
        <w:numPr>
          <w:ilvl w:val="0"/>
          <w:numId w:val="2"/>
        </w:numPr>
        <w:tabs>
          <w:tab w:val="left" w:pos="0"/>
        </w:tabs>
        <w:adjustRightInd w:val="0"/>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资格考试中，第一次未通过者，6个月后可参加第二次资格考试。第二次仍未通过者(含主动放弃者)，普博生按肄业处理；直博生、硕博生可申请转为同专业硕士生培养，且须至少学习1年，通过硕士论文答辩，达到学位授予条件者，可获得硕士学位，颁发硕士毕业证书。</w:t>
      </w:r>
    </w:p>
    <w:p>
      <w:pPr>
        <w:pStyle w:val="8"/>
        <w:numPr>
          <w:ilvl w:val="0"/>
          <w:numId w:val="2"/>
        </w:numPr>
        <w:tabs>
          <w:tab w:val="left" w:pos="0"/>
        </w:tabs>
        <w:adjustRightInd w:val="0"/>
        <w:ind w:firstLine="420" w:firstLineChars="200"/>
        <w:rPr>
          <w:rFonts w:ascii="Times New Roman" w:hAnsi="Times New Roman" w:eastAsiaTheme="minorEastAsia"/>
          <w:szCs w:val="21"/>
        </w:rPr>
      </w:pPr>
      <w:r>
        <w:rPr>
          <w:rStyle w:val="42"/>
          <w:rFonts w:ascii="Times New Roman" w:hAnsi="Times New Roman" w:cs="Times New Roman" w:eastAsiaTheme="minorEastAsia"/>
        </w:rPr>
        <w:t>对考试结果质疑者在考试结果公布一周内可向所在培养单位提出申诉。</w:t>
      </w:r>
    </w:p>
    <w:p>
      <w:pPr>
        <w:spacing w:before="156" w:beforeLines="50" w:after="156" w:afterLines="50"/>
        <w:ind w:firstLine="420" w:firstLineChars="200"/>
        <w:rPr>
          <w:rFonts w:ascii="Times New Roman" w:hAnsi="Times New Roman" w:cs="Times New Roman"/>
          <w:b/>
          <w:szCs w:val="21"/>
        </w:rPr>
      </w:pPr>
      <w:r>
        <w:rPr>
          <w:rFonts w:ascii="Times New Roman" w:hAnsi="Times New Roman" w:eastAsia="黑体" w:cs="Times New Roman"/>
          <w:szCs w:val="21"/>
        </w:rPr>
        <w:t>3.开题报告</w:t>
      </w:r>
    </w:p>
    <w:p>
      <w:pPr>
        <w:ind w:firstLine="420" w:firstLineChars="200"/>
        <w:rPr>
          <w:rFonts w:ascii="Times New Roman" w:hAnsi="Times New Roman" w:cs="Times New Roman"/>
          <w:szCs w:val="21"/>
        </w:rPr>
      </w:pPr>
      <w:r>
        <w:rPr>
          <w:rFonts w:ascii="Times New Roman" w:hAnsi="Times New Roman" w:cs="Times New Roman"/>
          <w:szCs w:val="21"/>
        </w:rPr>
        <w:t>（1）准入条件</w:t>
      </w:r>
    </w:p>
    <w:p>
      <w:pPr>
        <w:ind w:firstLine="420" w:firstLineChars="200"/>
        <w:rPr>
          <w:rFonts w:ascii="Times New Roman" w:hAnsi="Times New Roman" w:cs="Times New Roman"/>
          <w:szCs w:val="21"/>
        </w:rPr>
      </w:pPr>
      <w:r>
        <w:rPr>
          <w:rFonts w:ascii="Times New Roman" w:hAnsi="Times New Roman" w:cs="Times New Roman"/>
          <w:szCs w:val="21"/>
        </w:rPr>
        <w:t>学分修读完成，资格考试通过。</w:t>
      </w:r>
    </w:p>
    <w:p>
      <w:pPr>
        <w:ind w:firstLine="420" w:firstLineChars="200"/>
        <w:rPr>
          <w:rFonts w:ascii="Times New Roman" w:hAnsi="Times New Roman" w:cs="Times New Roman"/>
          <w:szCs w:val="21"/>
        </w:rPr>
      </w:pPr>
      <w:r>
        <w:rPr>
          <w:rFonts w:ascii="Times New Roman" w:hAnsi="Times New Roman" w:cs="Times New Roman"/>
          <w:szCs w:val="21"/>
        </w:rPr>
        <w:t>（2）考核要求</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普博生、硕博生（取得博士学籍后）应在第二学年结束前完成博士学位论文开题，直博生应在第三学年结束前完成开题。自开题报告通过至申请论文预答辩应不少于1年。</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开题报告具体时间由导师和院系决定，至少在二级学科范围内公开进行。开题报告考核小组成员不少于3名，其中，具有博士生指导资格的专家不少于2名，副高职称的专家需有博士学位。属于不同学科交叉培养的博士生，开题报告应聘请所涉及的相关学科专家参加。开题结束后，博士生将开题报告表提交院系备案。</w:t>
      </w:r>
    </w:p>
    <w:p>
      <w:pPr>
        <w:ind w:firstLine="420" w:firstLineChars="200"/>
        <w:rPr>
          <w:rFonts w:ascii="Times New Roman" w:hAnsi="Times New Roman" w:cs="Times New Roman"/>
          <w:szCs w:val="21"/>
        </w:rPr>
      </w:pPr>
      <w:r>
        <w:rPr>
          <w:rFonts w:ascii="Times New Roman" w:hAnsi="Times New Roman" w:cs="Times New Roman"/>
          <w:szCs w:val="21"/>
        </w:rPr>
        <w:t>（3）考核结果及分流说明</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开题报告的结果分为通过和不通过。未通过者，可申请在3个月后进行第二次开题，第二次仍未通过者，</w:t>
      </w:r>
      <w:bookmarkStart w:id="0" w:name="OLE_LINK2"/>
      <w:bookmarkStart w:id="1" w:name="OLE_LINK1"/>
      <w:r>
        <w:rPr>
          <w:rStyle w:val="42"/>
          <w:rFonts w:ascii="Times New Roman" w:hAnsi="Times New Roman" w:cs="Times New Roman" w:eastAsiaTheme="minorEastAsia"/>
        </w:rPr>
        <w:t>按肄业处理。</w:t>
      </w:r>
      <w:bookmarkEnd w:id="0"/>
      <w:bookmarkEnd w:id="1"/>
      <w:r>
        <w:rPr>
          <w:rStyle w:val="42"/>
          <w:rFonts w:ascii="Times New Roman" w:hAnsi="Times New Roman" w:cs="Times New Roman" w:eastAsiaTheme="minorEastAsia"/>
        </w:rPr>
        <w:t>研究过程中，如论文课题出现重大变动的，需重新组织开题。</w:t>
      </w: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4.科研训练与学术活动</w:t>
      </w:r>
    </w:p>
    <w:p>
      <w:pPr>
        <w:ind w:firstLine="420" w:firstLineChars="200"/>
        <w:rPr>
          <w:rFonts w:ascii="Times New Roman" w:hAnsi="Times New Roman" w:cs="Times New Roman"/>
          <w:szCs w:val="21"/>
        </w:rPr>
      </w:pPr>
      <w:r>
        <w:rPr>
          <w:rFonts w:ascii="Times New Roman" w:hAnsi="Times New Roman" w:cs="Times New Roman"/>
          <w:szCs w:val="21"/>
        </w:rPr>
        <w:t>（1）考核要求</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普博生、硕博生（取得博士学籍后）应在第二学年结束前、直博生应在第三学年结束前完成科研训练和学术活动考核。</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博士生在导师或导师组的指导下，通过独立开展科研或参加导师的科研课题等方式，提高科学研究、学术创新、学术鉴别、学术交流等能力。博士研究生在学期间须参加不少于30次的学术讲座，其中包括在本单位公开作一次学术报告，或者参加一次国内外学术会议。导师对博士生入学后的科研训练和学术活动进行评</w:t>
      </w:r>
      <w:r>
        <w:t>分（满分为100分计）。</w:t>
      </w:r>
    </w:p>
    <w:p>
      <w:pPr>
        <w:ind w:firstLine="420" w:firstLineChars="200"/>
        <w:rPr>
          <w:rFonts w:ascii="Times New Roman" w:hAnsi="Times New Roman" w:cs="Times New Roman"/>
          <w:szCs w:val="21"/>
        </w:rPr>
      </w:pPr>
      <w:r>
        <w:rPr>
          <w:rFonts w:ascii="Times New Roman" w:hAnsi="Times New Roman" w:cs="Times New Roman"/>
          <w:szCs w:val="21"/>
        </w:rPr>
        <w:t>（2）考核结果及分流说明</w:t>
      </w:r>
    </w:p>
    <w:p>
      <w:pPr>
        <w:ind w:firstLine="420" w:firstLineChars="200"/>
      </w:pPr>
      <w:r>
        <w:t>考核结果分为通过和不通过。未通过者须在三个月内进行第二次考核。第二次仍未通过者，按结业或肄业处理。</w:t>
      </w:r>
    </w:p>
    <w:p>
      <w:pPr>
        <w:spacing w:before="156" w:beforeLines="50" w:after="156" w:afterLines="50"/>
        <w:ind w:firstLine="420" w:firstLineChars="200"/>
        <w:rPr>
          <w:rFonts w:eastAsia="黑体"/>
        </w:rPr>
      </w:pPr>
      <w:r>
        <w:rPr>
          <w:rFonts w:ascii="Times New Roman" w:hAnsi="Times New Roman" w:eastAsia="黑体" w:cs="Times New Roman"/>
        </w:rPr>
        <w:t>5</w:t>
      </w:r>
      <w:r>
        <w:rPr>
          <w:rFonts w:eastAsia="黑体"/>
        </w:rPr>
        <w:t>.中期考核</w:t>
      </w:r>
    </w:p>
    <w:p>
      <w:pPr>
        <w:ind w:firstLine="420" w:firstLineChars="200"/>
      </w:pPr>
      <w:r>
        <w:t>（1）准入条件</w:t>
      </w:r>
    </w:p>
    <w:p>
      <w:pPr>
        <w:ind w:firstLine="420" w:firstLineChars="200"/>
      </w:pPr>
      <w:r>
        <w:t>课程学分修满、年度考核至少完成一次、资格考试通过、开题完成。</w:t>
      </w:r>
    </w:p>
    <w:p>
      <w:pPr>
        <w:ind w:firstLine="420" w:firstLineChars="200"/>
      </w:pPr>
      <w:r>
        <w:t>（2）考核要求</w:t>
      </w:r>
    </w:p>
    <w:p>
      <w:pPr>
        <w:ind w:firstLine="420" w:firstLineChars="200"/>
      </w:pPr>
      <w:r>
        <w:t>普博生、硕博生（取得博士学籍后）应在第二学年结束前、直博生应在第三学年结束前完成中期考核。</w:t>
      </w:r>
    </w:p>
    <w:p>
      <w:pPr>
        <w:ind w:firstLine="420" w:firstLineChars="200"/>
      </w:pPr>
      <w:r>
        <w:t>中期考核以审核形式开展，审核内容包括课程修读、年度报告、资格考试、开题报告、学术活动、科研进展等完成情况。</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（3）考核结果及分流说明</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以上各环节考核均通过者，中期考核通过，否则为不通过。中期考核通过者，方可申请论文预答辩。</w:t>
      </w:r>
    </w:p>
    <w:p>
      <w:pPr>
        <w:spacing w:before="156" w:beforeLines="50" w:after="156" w:afterLines="50"/>
        <w:ind w:firstLine="420" w:firstLineChars="200"/>
        <w:rPr>
          <w:rFonts w:ascii="Times New Roman" w:hAnsi="Times New Roman" w:eastAsia="黑体" w:cs="Times New Roman"/>
          <w:szCs w:val="21"/>
        </w:rPr>
      </w:pPr>
      <w:r>
        <w:rPr>
          <w:rFonts w:ascii="Times New Roman" w:hAnsi="Times New Roman" w:eastAsia="黑体" w:cs="Times New Roman"/>
          <w:szCs w:val="21"/>
        </w:rPr>
        <w:t>6.论文预答辩</w:t>
      </w:r>
    </w:p>
    <w:p>
      <w:pPr>
        <w:ind w:firstLine="420" w:firstLineChars="200"/>
        <w:rPr>
          <w:rFonts w:ascii="Times New Roman" w:hAnsi="Times New Roman" w:cs="Times New Roman"/>
          <w:szCs w:val="21"/>
        </w:rPr>
      </w:pPr>
      <w:r>
        <w:rPr>
          <w:rFonts w:ascii="Times New Roman" w:hAnsi="Times New Roman" w:cs="Times New Roman"/>
          <w:szCs w:val="21"/>
        </w:rPr>
        <w:t>（1）准入条件</w:t>
      </w:r>
    </w:p>
    <w:p>
      <w:pPr>
        <w:pStyle w:val="41"/>
        <w:ind w:left="454"/>
        <w:jc w:val="both"/>
        <w:rPr>
          <w:rFonts w:ascii="Times New Roman" w:hAnsi="Times New Roman" w:cs="Times New Roman" w:eastAsiaTheme="minorEastAsia"/>
          <w:sz w:val="21"/>
          <w:szCs w:val="21"/>
        </w:rPr>
      </w:pPr>
      <w:r>
        <w:rPr>
          <w:rStyle w:val="42"/>
          <w:rFonts w:ascii="Times New Roman" w:hAnsi="Times New Roman" w:cs="Times New Roman" w:eastAsiaTheme="minorEastAsia"/>
        </w:rPr>
        <w:t>通过中期考核的博士研究生在完成学位论文初稿并通过导师或指导小组成员审阅后可参加预答辩。</w:t>
      </w:r>
    </w:p>
    <w:p>
      <w:pPr>
        <w:ind w:firstLine="420" w:firstLineChars="200"/>
        <w:rPr>
          <w:rFonts w:ascii="Times New Roman" w:hAnsi="Times New Roman" w:cs="Times New Roman"/>
          <w:szCs w:val="21"/>
        </w:rPr>
      </w:pPr>
      <w:r>
        <w:rPr>
          <w:rFonts w:ascii="Times New Roman" w:hAnsi="Times New Roman" w:cs="Times New Roman"/>
          <w:szCs w:val="21"/>
        </w:rPr>
        <w:t>（2）考核要求</w:t>
      </w:r>
      <w:r>
        <w:rPr>
          <w:rFonts w:ascii="Times New Roman" w:hAnsi="Times New Roman" w:cs="Times New Roman"/>
          <w:szCs w:val="21"/>
        </w:rPr>
        <w:tab/>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博士生须在学位论文评阅盲审前1个月通过预答辩。时间分别在每年1-3月份和7-10月份。</w:t>
      </w:r>
    </w:p>
    <w:p>
      <w:pPr>
        <w:pStyle w:val="41"/>
        <w:numPr>
          <w:ilvl w:val="0"/>
          <w:numId w:val="3"/>
        </w:numPr>
        <w:jc w:val="both"/>
        <w:rPr>
          <w:rStyle w:val="42"/>
          <w:rFonts w:ascii="Times New Roman" w:hAnsi="Times New Roman" w:cs="Times New Roman" w:eastAsiaTheme="minorEastAsia"/>
        </w:rPr>
      </w:pPr>
      <w:r>
        <w:rPr>
          <w:rStyle w:val="42"/>
          <w:rFonts w:ascii="Times New Roman" w:hAnsi="Times New Roman" w:cs="Times New Roman" w:eastAsiaTheme="minorEastAsia"/>
        </w:rPr>
        <w:t>预答辩工作由导师组织预答辩小组，成员为3-5名具有高级职称的同行专家（副高职称需有博士学位且不多于1人），设一名预答辩组长，博士研究生导师为预答辩小组成员，另聘请一位预答辩秘书负责预答辩工作。博士研究生应在预答辩前十天提交学位论文初稿、开题报告等材料给预答辩小组成员评阅。</w:t>
      </w:r>
    </w:p>
    <w:p>
      <w:pPr>
        <w:numPr>
          <w:ilvl w:val="0"/>
          <w:numId w:val="3"/>
        </w:numPr>
        <w:rPr>
          <w:rStyle w:val="42"/>
          <w:rFonts w:ascii="Times New Roman" w:hAnsi="Times New Roman" w:cs="Times New Roman" w:eastAsiaTheme="minorEastAsia"/>
        </w:rPr>
      </w:pPr>
      <w:r>
        <w:rPr>
          <w:rStyle w:val="42"/>
          <w:rFonts w:ascii="Times New Roman" w:hAnsi="Times New Roman" w:cs="Times New Roman" w:eastAsiaTheme="minorEastAsia"/>
        </w:rPr>
        <w:t>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pPr>
        <w:numPr>
          <w:ilvl w:val="0"/>
          <w:numId w:val="3"/>
        </w:numPr>
        <w:rPr>
          <w:rStyle w:val="42"/>
          <w:rFonts w:ascii="Times New Roman" w:hAnsi="Times New Roman" w:cs="Times New Roman" w:eastAsiaTheme="minorEastAsia"/>
        </w:rPr>
      </w:pPr>
      <w:r>
        <w:rPr>
          <w:rStyle w:val="42"/>
          <w:rFonts w:ascii="Times New Roman" w:hAnsi="Times New Roman" w:cs="Times New Roman" w:eastAsiaTheme="minorEastAsia"/>
        </w:rPr>
        <w:t>答辩的成绩为百分制，低于60分为不合格，60-70分为基本合格，70分以上为合格。</w:t>
      </w:r>
    </w:p>
    <w:p>
      <w:pPr>
        <w:numPr>
          <w:ilvl w:val="0"/>
          <w:numId w:val="3"/>
        </w:numPr>
        <w:rPr>
          <w:rStyle w:val="42"/>
          <w:rFonts w:ascii="Times New Roman" w:hAnsi="Times New Roman" w:cs="Times New Roman" w:eastAsiaTheme="minorEastAsia"/>
        </w:rPr>
      </w:pPr>
      <w:r>
        <w:rPr>
          <w:rStyle w:val="42"/>
          <w:rFonts w:ascii="Times New Roman" w:hAnsi="Times New Roman" w:cs="Times New Roman" w:eastAsiaTheme="minorEastAsia"/>
        </w:rPr>
        <w:t>博士研究生在如下情况需重新进行预答辩：前一次预答辩结论为不合格；前一次预答辩结论虽为合格或基本合格，但学生在半年内未完成答辩流程；盲审结果有异议且复议未通过；盲审通过但答辩未通过；盲审与答辩通过，但学位评定分委员会或校学位评定委员会审议未通过。</w:t>
      </w:r>
    </w:p>
    <w:p>
      <w:pPr>
        <w:ind w:firstLine="420" w:firstLineChars="200"/>
        <w:rPr>
          <w:rFonts w:ascii="Times New Roman" w:hAnsi="Times New Roman" w:cs="Times New Roman"/>
          <w:szCs w:val="21"/>
        </w:rPr>
      </w:pPr>
      <w:r>
        <w:rPr>
          <w:rFonts w:ascii="Times New Roman" w:hAnsi="Times New Roman" w:cs="Times New Roman"/>
          <w:szCs w:val="21"/>
        </w:rPr>
        <w:t>（3）考核结果及分流说明</w:t>
      </w:r>
    </w:p>
    <w:p>
      <w:pPr>
        <w:pStyle w:val="41"/>
        <w:numPr>
          <w:ilvl w:val="0"/>
          <w:numId w:val="4"/>
        </w:numPr>
        <w:jc w:val="both"/>
        <w:rPr>
          <w:rStyle w:val="42"/>
          <w:rFonts w:ascii="Times New Roman" w:hAnsi="Times New Roman" w:cs="Times New Roman" w:eastAsiaTheme="minorEastAsia"/>
        </w:rPr>
      </w:pPr>
      <w:r>
        <w:rPr>
          <w:rStyle w:val="42"/>
          <w:rFonts w:ascii="Times New Roman" w:hAnsi="Times New Roman" w:cs="Times New Roman" w:eastAsiaTheme="minorEastAsia"/>
        </w:rPr>
        <w:t>预答辩结论为合格，博士研究生根据预答辩小组意见完善论文，可直接进入答辩资格审核阶段；</w:t>
      </w:r>
    </w:p>
    <w:p>
      <w:pPr>
        <w:pStyle w:val="41"/>
        <w:numPr>
          <w:ilvl w:val="0"/>
          <w:numId w:val="4"/>
        </w:numPr>
        <w:jc w:val="both"/>
        <w:rPr>
          <w:rStyle w:val="42"/>
          <w:rFonts w:ascii="Times New Roman" w:hAnsi="Times New Roman" w:cs="Times New Roman" w:eastAsiaTheme="minorEastAsia"/>
        </w:rPr>
      </w:pPr>
      <w:r>
        <w:rPr>
          <w:rStyle w:val="42"/>
          <w:rFonts w:ascii="Times New Roman" w:hAnsi="Times New Roman" w:cs="Times New Roman" w:eastAsiaTheme="minorEastAsia"/>
        </w:rPr>
        <w:t>预答辩结论为基本合格，博士研究生必须根据预答辩小组意见修改论文，经导师审阅同意后，提交修改论文及修改报告，经学位分委会审核后，方可进入答辩资格审核及盲审阶段；</w:t>
      </w:r>
    </w:p>
    <w:p>
      <w:pPr>
        <w:pStyle w:val="41"/>
        <w:numPr>
          <w:ilvl w:val="0"/>
          <w:numId w:val="4"/>
        </w:numPr>
        <w:jc w:val="both"/>
        <w:rPr>
          <w:rFonts w:ascii="Times New Roman" w:hAnsi="Times New Roman" w:cs="Times New Roman" w:eastAsiaTheme="minorEastAsia"/>
          <w:sz w:val="21"/>
          <w:szCs w:val="21"/>
        </w:rPr>
      </w:pPr>
      <w:r>
        <w:rPr>
          <w:rStyle w:val="42"/>
          <w:rFonts w:ascii="Times New Roman" w:hAnsi="Times New Roman" w:cs="Times New Roman" w:eastAsiaTheme="minorEastAsia"/>
        </w:rPr>
        <w:t>预答辩结论为不合格，博士研究生必须根据预答辩小组意见，全面修改论文不少于半年，经导师审阅后，重新进行预答辩。</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八、创新成果考核 </w:t>
      </w:r>
    </w:p>
    <w:p>
      <w:pPr>
        <w:ind w:firstLine="420" w:firstLineChars="200"/>
        <w:rPr>
          <w:rStyle w:val="42"/>
          <w:rFonts w:ascii="Times New Roman" w:hAnsi="Times New Roman" w:cs="Times New Roman" w:eastAsiaTheme="minorEastAsia"/>
        </w:rPr>
      </w:pPr>
      <w:r>
        <w:rPr>
          <w:rFonts w:ascii="Times New Roman" w:hAnsi="Times New Roman" w:cs="Times New Roman"/>
          <w:szCs w:val="21"/>
        </w:rPr>
        <w:t xml:space="preserve"> </w:t>
      </w:r>
      <w:r>
        <w:rPr>
          <w:rStyle w:val="42"/>
          <w:rFonts w:ascii="Times New Roman" w:hAnsi="Times New Roman" w:cs="Times New Roman" w:eastAsiaTheme="minorEastAsia"/>
        </w:rPr>
        <w:t>博士生需至少满足以下科研成果要求，方可提出学位申请。各院系可额外提出不低于本办法的科研要求。</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普通博士生（含留学生）科研要求：本人为第一作者在SCI/SCIE/SSCI期刊上发表（或在线发表）1篇学术论文，以上论文的第一作者单位和通讯作者第一署名单位需为华东师范大学。</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环境科学硕博连读和本科直博生要求：本人为第一作者在SCI/SCIE/SSCI/ CSCD（中国科学引文数据库，含扩展版期刊，不含增刊）上发表（或在线发表）2篇及以上论文，其中SCI/SCIE/SSCI刊物上不少于1篇、中文核心刊物含录用。第一作者单位和通讯作者的第一署名单位必须为华东师范大学。</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环境工程硕博连读和本科直博生要求：本人为第一作者在SCI/SCIE/SSCI/ CSCD（中国科学引文数据库，含扩展版期刊，不含增刊）上发表（含录用）或获批专利2篇(项)及以上，其中SCI/SCIE/SSCI刊物上不少于1篇、中文核心刊物含录用。第一作者单位和通讯作者的第一署名单位必须为华东师范大学。</w:t>
      </w: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九、学位论文要求</w:t>
      </w:r>
      <w:r>
        <w:rPr>
          <w:rFonts w:ascii="Times New Roman" w:hAnsi="Times New Roman" w:cs="Times New Roman"/>
          <w:szCs w:val="21"/>
        </w:rPr>
        <w:t xml:space="preserve"> </w:t>
      </w:r>
    </w:p>
    <w:p>
      <w:pPr>
        <w:ind w:firstLine="420"/>
        <w:rPr>
          <w:rStyle w:val="42"/>
          <w:rFonts w:ascii="Times New Roman" w:hAnsi="Times New Roman" w:cs="Times New Roman" w:eastAsiaTheme="minorEastAsia"/>
        </w:rPr>
      </w:pPr>
      <w:r>
        <w:rPr>
          <w:rStyle w:val="42"/>
          <w:rFonts w:ascii="Times New Roman" w:hAnsi="Times New Roman" w:cs="Times New Roman" w:eastAsiaTheme="minorEastAsia"/>
        </w:rPr>
        <w:t>博士生学位论文是综合衡量博士研究生培养质量和学术水平的重要标志，博士生应有不少于2年的时间，在导师和导师组的指导下，进行学位论文相关的科学研究，独立完成论文撰写。</w:t>
      </w:r>
    </w:p>
    <w:p>
      <w:pPr>
        <w:ind w:firstLine="420" w:firstLineChars="200"/>
        <w:rPr>
          <w:rStyle w:val="42"/>
          <w:rFonts w:ascii="Times New Roman" w:hAnsi="Times New Roman" w:cs="Times New Roman" w:eastAsiaTheme="minorEastAsia"/>
        </w:rPr>
      </w:pPr>
      <w:r>
        <w:rPr>
          <w:rStyle w:val="42"/>
          <w:rFonts w:ascii="Times New Roman" w:hAnsi="Times New Roman" w:cs="Times New Roman" w:eastAsiaTheme="minorEastAsia"/>
        </w:rPr>
        <w:t>博士生学位论文的基本要求、评阅、盲审、答辩，以及学位申请、学位评议与授予，按照《华东师范大学博士、硕士学位论文基本要求》、《华东师范大学学位授予工作细则》的相关规定执行。</w:t>
      </w:r>
    </w:p>
    <w:p>
      <w:pPr>
        <w:ind w:firstLine="420" w:firstLineChars="200"/>
        <w:rPr>
          <w:rFonts w:ascii="Times New Roman" w:hAnsi="Times New Roman" w:cs="Times New Roman"/>
          <w:szCs w:val="21"/>
        </w:rPr>
      </w:pPr>
      <w:r>
        <w:rPr>
          <w:rStyle w:val="42"/>
          <w:rFonts w:ascii="Times New Roman" w:hAnsi="Times New Roman" w:cs="Times New Roman" w:eastAsiaTheme="minorEastAsia"/>
        </w:rPr>
        <w:t>留学博士生学位论文可用汉语、英语撰写和答辩，但必须有详细的中文摘要。</w:t>
      </w:r>
    </w:p>
    <w:p>
      <w:pPr>
        <w:spacing w:before="156" w:beforeLines="50" w:after="156" w:afterLines="50"/>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十、必修课程教材</w:t>
      </w:r>
    </w:p>
    <w:tbl>
      <w:tblPr>
        <w:tblStyle w:val="1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jc w:val="center"/>
        </w:trPr>
        <w:tc>
          <w:tcPr>
            <w:tcW w:w="1577" w:type="dxa"/>
          </w:tcPr>
          <w:p>
            <w:pPr>
              <w:spacing w:line="400" w:lineRule="exact"/>
              <w:rPr>
                <w:rFonts w:ascii="Times New Roman" w:hAnsi="Times New Roman" w:cs="Times New Roman"/>
                <w:szCs w:val="21"/>
              </w:rPr>
            </w:pPr>
            <w:r>
              <w:rPr>
                <w:rFonts w:ascii="Times New Roman" w:hAnsi="Times New Roman" w:cs="Times New Roman"/>
                <w:szCs w:val="21"/>
              </w:rPr>
              <w:t>课程名称</w:t>
            </w:r>
          </w:p>
        </w:tc>
        <w:tc>
          <w:tcPr>
            <w:tcW w:w="7963" w:type="dxa"/>
          </w:tcPr>
          <w:p>
            <w:pPr>
              <w:spacing w:line="400" w:lineRule="exact"/>
              <w:rPr>
                <w:rFonts w:ascii="Times New Roman" w:hAnsi="Times New Roman" w:cs="Times New Roman"/>
                <w:szCs w:val="21"/>
              </w:rPr>
            </w:pPr>
            <w:r>
              <w:rPr>
                <w:rFonts w:ascii="Times New Roman" w:hAnsi="Times New Roman" w:cs="Times New Roman"/>
                <w:szCs w:val="21"/>
              </w:rPr>
              <w:t>选用教材（含教材、教学参考书）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环境土壤学原理</w:t>
            </w:r>
          </w:p>
          <w:p>
            <w:pPr>
              <w:spacing w:line="400" w:lineRule="exact"/>
              <w:rPr>
                <w:rFonts w:ascii="Times New Roman" w:hAnsi="Times New Roman" w:cs="Times New Roman"/>
                <w:szCs w:val="21"/>
              </w:rPr>
            </w:pPr>
          </w:p>
        </w:tc>
        <w:tc>
          <w:tcPr>
            <w:tcW w:w="7963"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陈怀满，《环境土壤学》（第三版），科学出版社， 2019.</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王红旗，《土壤环境学》，高等教育出版社， 2007.</w:t>
            </w:r>
          </w:p>
          <w:p>
            <w:pPr>
              <w:rPr>
                <w:rFonts w:ascii="Times New Roman" w:hAnsi="Times New Roman" w:cs="Times New Roman"/>
                <w:szCs w:val="21"/>
              </w:rPr>
            </w:pPr>
            <w:r>
              <w:rPr>
                <w:rFonts w:hint="eastAsia" w:ascii="Times New Roman" w:hAnsi="Times New Roman" w:cs="Times New Roman"/>
                <w:szCs w:val="21"/>
              </w:rPr>
              <w:t>代表性教学参考书：</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贾建丽，《环境土壤学》（第二版），化学工业出版社，2016.</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崔龙哲，《污染土壤修复技术与应用》，化学工业出版社，2016.</w:t>
            </w:r>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施维林，《场地土壤修复管理与实践》，科学出版社，2017.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实验室安全教育</w:t>
            </w:r>
          </w:p>
          <w:p>
            <w:pPr>
              <w:spacing w:line="400" w:lineRule="exact"/>
              <w:rPr>
                <w:rFonts w:ascii="Times New Roman" w:hAnsi="Times New Roman" w:cs="Times New Roman"/>
                <w:szCs w:val="21"/>
              </w:rPr>
            </w:pPr>
          </w:p>
        </w:tc>
        <w:tc>
          <w:tcPr>
            <w:tcW w:w="7963" w:type="dxa"/>
          </w:tcPr>
          <w:p>
            <w:pPr>
              <w:rPr>
                <w:rFonts w:ascii="Times New Roman" w:hAnsi="Times New Roman" w:cs="Times New Roman"/>
                <w:szCs w:val="21"/>
              </w:rPr>
            </w:pPr>
            <w:r>
              <w:rPr>
                <w:rFonts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邵国成、张春艳主编</w:t>
            </w:r>
            <w:r>
              <w:rPr>
                <w:rFonts w:ascii="Times New Roman" w:hAnsi="Times New Roman" w:cs="Times New Roman"/>
                <w:szCs w:val="21"/>
              </w:rPr>
              <w:t>，</w:t>
            </w:r>
            <w:r>
              <w:rPr>
                <w:rFonts w:hint="eastAsia" w:ascii="Times New Roman" w:hAnsi="Times New Roman" w:cs="Times New Roman"/>
                <w:szCs w:val="21"/>
              </w:rPr>
              <w:t>《实验室安全技术》</w:t>
            </w:r>
            <w:r>
              <w:rPr>
                <w:rFonts w:ascii="Times New Roman" w:hAnsi="Times New Roman" w:cs="Times New Roman"/>
                <w:szCs w:val="21"/>
              </w:rPr>
              <w:t>，</w:t>
            </w:r>
            <w:r>
              <w:rPr>
                <w:rFonts w:hint="eastAsia" w:ascii="Times New Roman" w:hAnsi="Times New Roman" w:cs="Times New Roman"/>
                <w:szCs w:val="21"/>
              </w:rPr>
              <w:t>化学工业出版社，2016.2</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江苏省教育厅编印，《高校实验室安全手册》，2019.</w:t>
            </w:r>
            <w:r>
              <w:rPr>
                <w:rFonts w:ascii="Times New Roman" w:hAnsi="Times New Roman" w:cs="Times New Roman"/>
                <w:szCs w:val="21"/>
              </w:rPr>
              <w:t>6.</w:t>
            </w:r>
          </w:p>
          <w:p>
            <w:pPr>
              <w:rPr>
                <w:rFonts w:ascii="Times New Roman" w:hAnsi="Times New Roman" w:cs="Times New Roman"/>
                <w:szCs w:val="21"/>
              </w:rPr>
            </w:pPr>
            <w:r>
              <w:rPr>
                <w:rFonts w:ascii="Times New Roman" w:hAnsi="Times New Roman" w:cs="Times New Roman"/>
                <w:szCs w:val="21"/>
              </w:rPr>
              <w:t>代表性教学参考书：</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.Hazards in the Chemical Laboratory</w:t>
            </w:r>
          </w:p>
          <w:p>
            <w:pPr>
              <w:rPr>
                <w:rFonts w:ascii="Times New Roman" w:hAnsi="Times New Roman" w:cs="Times New Roman"/>
                <w:szCs w:val="21"/>
              </w:rPr>
            </w:pPr>
            <w:r>
              <w:rPr>
                <w:rFonts w:ascii="Times New Roman" w:hAnsi="Times New Roman" w:cs="Times New Roman"/>
                <w:szCs w:val="21"/>
              </w:rPr>
              <w:t>2.Prudent Practices in the Laboratory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环境微生物学</w:t>
            </w:r>
          </w:p>
        </w:tc>
        <w:tc>
          <w:tcPr>
            <w:tcW w:w="7963"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周群英 王士芬编著，《环境工程微生物学》（第四版），高等教育出版社，北京，2015</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王家玲主编，《环境微生物学》（第二版），高等教育出版社，北京，2003</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沈萍主编，《微生物学》，高等教育出版社，北京，2000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徐亚同、史家樑、张明编著，《污染控制微生物工程》，化学工业出版社，2001</w:t>
            </w:r>
            <w:r>
              <w:rPr>
                <w:rFonts w:ascii="Times New Roman" w:hAnsi="Times New Roman" w:eastAsia="宋体" w:cs="Times New Roman"/>
                <w:szCs w:val="21"/>
              </w:rPr>
              <w:t>.</w:t>
            </w:r>
          </w:p>
          <w:p>
            <w:pPr>
              <w:rPr>
                <w:rFonts w:ascii="Times New Roman" w:hAnsi="Times New Roman"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马文漪，杨柳燕编著，《环境微生物工程》，南京大学出版社，1998</w:t>
            </w:r>
            <w:r>
              <w:rPr>
                <w:rFonts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77" w:type="dxa"/>
            <w:vAlign w:val="center"/>
          </w:tcPr>
          <w:p>
            <w:pPr>
              <w:pStyle w:val="40"/>
              <w:jc w:val="left"/>
              <w:rPr>
                <w:rFonts w:ascii="Times New Roman" w:hAnsi="Times New Roman" w:cs="Times New Roman"/>
              </w:rPr>
            </w:pPr>
            <w:r>
              <w:rPr>
                <w:rFonts w:ascii="Times New Roman" w:hAnsi="Times New Roman" w:cs="Times New Roman" w:eastAsiaTheme="minorEastAsia"/>
                <w:kern w:val="2"/>
                <w:sz w:val="21"/>
              </w:rPr>
              <w:t>环境毒理学</w:t>
            </w:r>
          </w:p>
        </w:tc>
        <w:tc>
          <w:tcPr>
            <w:tcW w:w="7963"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孟紫强，《环境毒理学基础》（第三版），高等出版社.</w:t>
            </w:r>
          </w:p>
          <w:p>
            <w:pPr>
              <w:rPr>
                <w:rFonts w:ascii="Times New Roman" w:hAnsi="Times New Roman" w:cs="Times New Roman"/>
                <w:szCs w:val="21"/>
              </w:rPr>
            </w:pPr>
            <w:r>
              <w:rPr>
                <w:rFonts w:hint="eastAsia" w:ascii="Times New Roman" w:hAnsi="Times New Roman" w:cs="Times New Roman"/>
                <w:szCs w:val="21"/>
              </w:rPr>
              <w:t>代表性教学参考书：</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纽曼(Newman,M.C),昂格尔(Unger,M.A)，《生态毒理学原理》（原著第二版），化学工业出版社.</w:t>
            </w:r>
          </w:p>
          <w:p>
            <w:pPr>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Curtis Klaassen</w:t>
            </w:r>
            <w:r>
              <w:rPr>
                <w:rFonts w:ascii="Times New Roman" w:hAnsi="Times New Roman" w:cs="Times New Roman"/>
                <w:szCs w:val="21"/>
              </w:rPr>
              <w:t xml:space="preserve">, </w:t>
            </w:r>
            <w:r>
              <w:rPr>
                <w:rFonts w:hint="eastAsia" w:ascii="Times New Roman" w:hAnsi="Times New Roman" w:cs="Times New Roman"/>
                <w:szCs w:val="21"/>
              </w:rPr>
              <w:t>Casarett and Doull's Toxicology: The Basic Science of Poisons，McGraw-Hill Education</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577" w:type="dxa"/>
            <w:vAlign w:val="center"/>
          </w:tcPr>
          <w:p>
            <w:pPr>
              <w:spacing w:line="400" w:lineRule="exact"/>
              <w:rPr>
                <w:rFonts w:ascii="Times New Roman" w:hAnsi="Times New Roman" w:cs="Times New Roman"/>
                <w:szCs w:val="21"/>
              </w:rPr>
            </w:pPr>
            <w:r>
              <w:rPr>
                <w:rFonts w:ascii="Times New Roman" w:hAnsi="Times New Roman" w:cs="Times New Roman"/>
                <w:szCs w:val="21"/>
              </w:rPr>
              <w:t>环境化学</w:t>
            </w:r>
          </w:p>
        </w:tc>
        <w:tc>
          <w:tcPr>
            <w:tcW w:w="7963"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戴树桂编著（主编），《环境化学》（第2版），高教出版社，2006.</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王晓蓉，《环境化学》，科学出版社，2019</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2.Environmental Organic Chemistry, Wiley-Interscience, Schwarzenbach R.P., 2015.</w:t>
            </w:r>
          </w:p>
          <w:p>
            <w:pPr>
              <w:rPr>
                <w:rFonts w:ascii="Times New Roman" w:hAnsi="Times New Roman" w:eastAsia="宋体" w:cs="Times New Roman"/>
                <w:szCs w:val="21"/>
              </w:rPr>
            </w:pPr>
            <w:r>
              <w:rPr>
                <w:rFonts w:ascii="Times New Roman" w:hAnsi="Times New Roman" w:eastAsia="宋体" w:cs="Times New Roman"/>
                <w:szCs w:val="21"/>
              </w:rPr>
              <w:t>3.Patrick Brezonik, William Arnold, Water Chemistry: An Introduction to the Chemistry of Natural and Engineered Aquatic Systems. Oxford University Press, 2011.</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Manahan T E，Environmental Chemistry (Eighth Edition) ,CRC Press, 2005；</w:t>
            </w:r>
          </w:p>
          <w:p>
            <w:pP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van Loon G W and Duffy S J，Environmental Chemistry-a global perspective (Second Edition) , Oxford University Press, 2005</w:t>
            </w:r>
            <w:r>
              <w:rPr>
                <w:rFonts w:ascii="Times New Roman" w:hAnsi="Times New Roman" w:eastAsia="宋体" w:cs="Times New Roman"/>
                <w:szCs w:val="21"/>
              </w:rPr>
              <w:t>.</w:t>
            </w:r>
          </w:p>
          <w:p>
            <w:pPr>
              <w:rPr>
                <w:rFonts w:ascii="Times New Roman" w:hAnsi="Times New Roman" w:cs="Times New Roman"/>
                <w:szCs w:val="21"/>
              </w:rPr>
            </w:pPr>
            <w:r>
              <w:rPr>
                <w:rFonts w:ascii="Times New Roman" w:hAnsi="Times New Roman" w:eastAsia="宋体" w:cs="Times New Roman"/>
                <w:szCs w:val="21"/>
              </w:rPr>
              <w:t>6.Patrick Brezonik, William Arnold,Water Chemistry: An Introduction to the Chemistry of Natural and Engineered Aquatic Systems, Oxford University Press, USA, 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现代环境监测技术</w:t>
            </w:r>
          </w:p>
          <w:p>
            <w:pPr>
              <w:spacing w:line="400" w:lineRule="exact"/>
              <w:rPr>
                <w:rFonts w:ascii="Times New Roman" w:hAnsi="Times New Roman" w:cs="Times New Roman"/>
                <w:szCs w:val="21"/>
              </w:rPr>
            </w:pPr>
          </w:p>
        </w:tc>
        <w:tc>
          <w:tcPr>
            <w:tcW w:w="7963"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刘志广等编著（主编），《仪器分析》（第2版），大连理工大学出版社，2007.</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方禹之编著（主编），《分析科学和分析技术》（第1版），华东师范大学出版社，2002.</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江桂斌，《环境化学前沿》（第1版），刘维屏编著（主编），科学出版社，2017.</w:t>
            </w:r>
          </w:p>
          <w:p>
            <w:pPr>
              <w:rPr>
                <w:rFonts w:ascii="Times New Roman" w:hAnsi="Times New Roman"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江桂斌，郑明辉，孙红文，蔡勇编著（主编），《环境化学前沿（第二辑）》（第1版），科学出版社，2019.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大气污染控制理论与技术</w:t>
            </w:r>
          </w:p>
          <w:p>
            <w:pPr>
              <w:spacing w:line="400" w:lineRule="exact"/>
              <w:rPr>
                <w:rFonts w:ascii="Times New Roman" w:hAnsi="Times New Roman" w:cs="Times New Roman"/>
                <w:szCs w:val="21"/>
              </w:rPr>
            </w:pPr>
          </w:p>
        </w:tc>
        <w:tc>
          <w:tcPr>
            <w:tcW w:w="7963" w:type="dxa"/>
          </w:tcPr>
          <w:p>
            <w:pPr>
              <w:rPr>
                <w:rFonts w:ascii="Times New Roman" w:hAnsi="Times New Roman" w:eastAsia="宋体" w:cs="Times New Roman"/>
                <w:szCs w:val="21"/>
              </w:rPr>
            </w:pPr>
            <w:r>
              <w:rPr>
                <w:rFonts w:hint="eastAsia" w:ascii="Times New Roman" w:hAnsi="Times New Roman" w:eastAsia="宋体" w:cs="Times New Roman"/>
                <w:szCs w:val="21"/>
              </w:rPr>
              <w:t>教材：</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郝吉明，马广大，王书肖.《大气污染控制工程》（第3版），北京：高等教育出版社，2010</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代表性教学参考书：</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 xml:space="preserve"> Noel de Nevers.《Air Pollution Control Engineering》(second edition)，McGraw-Hill, 北京：清华大学出版社，2000年影印版（第2版）。</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美</w:t>
            </w:r>
            <w:r>
              <w:rPr>
                <w:rFonts w:ascii="Times New Roman" w:hAnsi="Times New Roman" w:eastAsia="宋体" w:cs="Times New Roman"/>
                <w:szCs w:val="21"/>
              </w:rPr>
              <w:t xml:space="preserve">) </w:t>
            </w:r>
            <w:r>
              <w:rPr>
                <w:rFonts w:hint="eastAsia" w:ascii="Times New Roman" w:hAnsi="Times New Roman" w:eastAsia="宋体" w:cs="Times New Roman"/>
                <w:szCs w:val="21"/>
              </w:rPr>
              <w:t>诺埃尔</w:t>
            </w:r>
            <w:r>
              <w:rPr>
                <w:rFonts w:ascii="Times New Roman" w:hAnsi="Times New Roman" w:eastAsia="宋体" w:cs="Times New Roman"/>
                <w:szCs w:val="21"/>
              </w:rPr>
              <w:t>∙</w:t>
            </w:r>
            <w:r>
              <w:rPr>
                <w:rFonts w:hint="eastAsia" w:ascii="Times New Roman" w:hAnsi="Times New Roman" w:eastAsia="宋体" w:cs="Times New Roman"/>
                <w:szCs w:val="21"/>
              </w:rPr>
              <w:t>德</w:t>
            </w:r>
            <w:r>
              <w:rPr>
                <w:rFonts w:ascii="Times New Roman" w:hAnsi="Times New Roman" w:eastAsia="宋体" w:cs="Times New Roman"/>
                <w:szCs w:val="21"/>
              </w:rPr>
              <w:t>∙</w:t>
            </w:r>
            <w:r>
              <w:rPr>
                <w:rFonts w:hint="eastAsia" w:ascii="Times New Roman" w:hAnsi="Times New Roman" w:eastAsia="宋体" w:cs="Times New Roman"/>
                <w:szCs w:val="21"/>
              </w:rPr>
              <w:t>内韦尔著；胡敏</w:t>
            </w:r>
            <w:r>
              <w:rPr>
                <w:rFonts w:ascii="Times New Roman" w:hAnsi="Times New Roman" w:eastAsia="宋体" w:cs="Times New Roman"/>
                <w:szCs w:val="21"/>
              </w:rPr>
              <w:t xml:space="preserve">, </w:t>
            </w:r>
            <w:r>
              <w:rPr>
                <w:rFonts w:hint="eastAsia" w:ascii="Times New Roman" w:hAnsi="Times New Roman" w:eastAsia="宋体" w:cs="Times New Roman"/>
                <w:szCs w:val="21"/>
              </w:rPr>
              <w:t>谢绍东等译</w:t>
            </w:r>
            <w:r>
              <w:rPr>
                <w:rFonts w:ascii="Times New Roman" w:hAnsi="Times New Roman" w:eastAsia="宋体" w:cs="Times New Roman"/>
                <w:szCs w:val="21"/>
              </w:rPr>
              <w:t>.</w:t>
            </w:r>
            <w:r>
              <w:rPr>
                <w:rFonts w:hint="eastAsia" w:ascii="Times New Roman" w:hAnsi="Times New Roman" w:eastAsia="宋体" w:cs="Times New Roman"/>
                <w:szCs w:val="21"/>
              </w:rPr>
              <w:t>《大气污染控制工程》（第</w:t>
            </w:r>
            <w:r>
              <w:rPr>
                <w:rFonts w:ascii="Times New Roman" w:hAnsi="Times New Roman" w:eastAsia="宋体" w:cs="Times New Roman"/>
                <w:szCs w:val="21"/>
              </w:rPr>
              <w:t>2</w:t>
            </w:r>
            <w:r>
              <w:rPr>
                <w:rFonts w:hint="eastAsia" w:ascii="Times New Roman" w:hAnsi="Times New Roman" w:eastAsia="宋体" w:cs="Times New Roman"/>
                <w:szCs w:val="21"/>
              </w:rPr>
              <w:t>版），北京：化学工业出版社，</w:t>
            </w:r>
            <w:r>
              <w:rPr>
                <w:rFonts w:ascii="Times New Roman" w:hAnsi="Times New Roman" w:eastAsia="宋体" w:cs="Times New Roman"/>
                <w:szCs w:val="21"/>
              </w:rPr>
              <w:t>2005</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郭静，阮宜纶，《大气污染控制工程》（第1版），北京：化学工业出版社，2001.</w:t>
            </w:r>
          </w:p>
          <w:p>
            <w:pP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李广超，傅梅绮，《大气污染控制技术》（第1版），北京：化学工业出版社，2004.</w:t>
            </w:r>
          </w:p>
          <w:p>
            <w:pP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吴忠标，《大气污染控制工程》（第1版），北京：科学出版社，2002.</w:t>
            </w:r>
          </w:p>
          <w:p>
            <w:pPr>
              <w:rPr>
                <w:rFonts w:ascii="Times New Roman" w:hAnsi="Times New Roman"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沈伯雄，《大气污染控制工程》（第1版），北京：化学工业出版社，2007.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水污染控制工程</w:t>
            </w:r>
          </w:p>
        </w:tc>
        <w:tc>
          <w:tcPr>
            <w:tcW w:w="7963"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高廷耀、顾国维、周琪编，《水污染控制工程（上）》。 </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高廷耀、顾国维、周琪编，《水污染控制工程（下）》。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固体废弃物处理与处置</w:t>
            </w:r>
          </w:p>
          <w:p>
            <w:pPr>
              <w:pStyle w:val="40"/>
              <w:jc w:val="left"/>
              <w:rPr>
                <w:rFonts w:ascii="Times New Roman" w:hAnsi="Times New Roman" w:cs="Times New Roman"/>
              </w:rPr>
            </w:pPr>
          </w:p>
        </w:tc>
        <w:tc>
          <w:tcPr>
            <w:tcW w:w="7963"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赵由才，牛冬杰，柴晓利 等编著，《固体废物处理与资源化》（第一版），化学工业出版社，2006年.</w:t>
            </w:r>
          </w:p>
          <w:p>
            <w:pPr>
              <w:rPr>
                <w:rFonts w:ascii="Times New Roman" w:hAnsi="Times New Roman" w:cs="Times New Roman"/>
                <w:szCs w:val="21"/>
              </w:rPr>
            </w:pPr>
            <w:r>
              <w:rPr>
                <w:rFonts w:hint="eastAsia" w:ascii="Times New Roman" w:hAnsi="Times New Roman" w:cs="Times New Roman"/>
                <w:szCs w:val="21"/>
              </w:rPr>
              <w:t>代表性教学参考书：</w:t>
            </w:r>
          </w:p>
          <w:p>
            <w:pPr>
              <w:rPr>
                <w:rFonts w:ascii="Times New Roman" w:hAnsi="Times New Roman" w:cs="Times New Roman"/>
                <w:szCs w:val="21"/>
              </w:rPr>
            </w:pPr>
            <w:r>
              <w:rPr>
                <w:rFonts w:hint="eastAsia" w:ascii="Times New Roman" w:hAnsi="Times New Roman" w:cs="Times New Roman"/>
                <w:szCs w:val="21"/>
              </w:rPr>
              <w:t>王黎编著，《固体废物处置与处理》（第一版），冶金工业出版社.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环境分析化学</w:t>
            </w:r>
          </w:p>
          <w:p>
            <w:pPr>
              <w:spacing w:line="400" w:lineRule="exact"/>
              <w:rPr>
                <w:rFonts w:ascii="Times New Roman" w:hAnsi="Times New Roman" w:cs="Times New Roman"/>
                <w:szCs w:val="21"/>
              </w:rPr>
            </w:pPr>
          </w:p>
        </w:tc>
        <w:tc>
          <w:tcPr>
            <w:tcW w:w="7963" w:type="dxa"/>
          </w:tcPr>
          <w:p>
            <w:pPr>
              <w:rPr>
                <w:rFonts w:ascii="Times New Roman" w:hAnsi="Times New Roman" w:cs="Times New Roman"/>
                <w:szCs w:val="21"/>
              </w:rPr>
            </w:pPr>
            <w:r>
              <w:rPr>
                <w:rFonts w:hint="eastAsia" w:ascii="Times New Roman" w:hAnsi="Times New Roman" w:cs="Times New Roman"/>
                <w:szCs w:val="21"/>
              </w:rPr>
              <w:t>教材：</w:t>
            </w:r>
          </w:p>
          <w:p>
            <w:pPr>
              <w:rPr>
                <w:rFonts w:ascii="Times New Roman" w:hAnsi="Times New Roman" w:cs="Times New Roman"/>
                <w:szCs w:val="21"/>
              </w:rPr>
            </w:pPr>
            <w:r>
              <w:rPr>
                <w:rFonts w:hint="eastAsia" w:ascii="Times New Roman" w:hAnsi="Times New Roman" w:cs="Times New Roman"/>
                <w:szCs w:val="21"/>
              </w:rPr>
              <w:t>韦进宝，钱少华编著，《环境分析化学》，化学工业出版社，</w:t>
            </w:r>
            <w:r>
              <w:rPr>
                <w:rFonts w:ascii="Times New Roman" w:hAnsi="Times New Roman" w:cs="Times New Roman"/>
                <w:szCs w:val="21"/>
              </w:rPr>
              <w:t>2002.</w:t>
            </w:r>
          </w:p>
          <w:p>
            <w:pPr>
              <w:rPr>
                <w:rFonts w:ascii="Times New Roman" w:hAnsi="Times New Roman" w:cs="Times New Roman"/>
                <w:bCs/>
              </w:rPr>
            </w:pPr>
            <w:r>
              <w:rPr>
                <w:rFonts w:hint="eastAsia" w:ascii="Times New Roman" w:hAnsi="Times New Roman" w:cs="Times New Roman"/>
                <w:bCs/>
              </w:rPr>
              <w:t>代表性教学参考书：</w:t>
            </w:r>
          </w:p>
          <w:p>
            <w:pPr>
              <w:rPr>
                <w:rFonts w:ascii="Times New Roman" w:hAnsi="Times New Roman" w:cs="Times New Roman"/>
                <w:szCs w:val="21"/>
              </w:rPr>
            </w:pPr>
            <w:r>
              <w:rPr>
                <w:rFonts w:hint="eastAsia" w:ascii="Times New Roman" w:hAnsi="Times New Roman" w:cs="Times New Roman"/>
                <w:bCs/>
              </w:rPr>
              <w:t>1</w:t>
            </w:r>
            <w:r>
              <w:rPr>
                <w:rFonts w:ascii="Times New Roman" w:hAnsi="Times New Roman" w:cs="Times New Roman"/>
                <w:bCs/>
              </w:rPr>
              <w:t>.叶宪曾, 张新祥等编，</w:t>
            </w:r>
            <w:r>
              <w:rPr>
                <w:rFonts w:hint="eastAsia" w:ascii="Times New Roman" w:hAnsi="Times New Roman" w:cs="Times New Roman"/>
                <w:bCs/>
              </w:rPr>
              <w:t>《</w:t>
            </w:r>
            <w:r>
              <w:rPr>
                <w:rFonts w:ascii="Times New Roman" w:hAnsi="Times New Roman" w:cs="Times New Roman"/>
                <w:szCs w:val="21"/>
              </w:rPr>
              <w:t>仪器分析教程</w:t>
            </w:r>
            <w:r>
              <w:rPr>
                <w:rFonts w:hint="eastAsia" w:ascii="Times New Roman" w:hAnsi="Times New Roman" w:cs="Times New Roman"/>
                <w:szCs w:val="21"/>
              </w:rPr>
              <w:t>》</w:t>
            </w:r>
            <w:r>
              <w:rPr>
                <w:rFonts w:ascii="Times New Roman" w:hAnsi="Times New Roman" w:cs="Times New Roman"/>
                <w:szCs w:val="21"/>
              </w:rPr>
              <w:t>，北京大学出版社，2007.</w:t>
            </w:r>
          </w:p>
          <w:p>
            <w:pP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.刘虎生、邵宏翔编，</w:t>
            </w:r>
            <w:r>
              <w:rPr>
                <w:rFonts w:hint="eastAsia" w:ascii="Times New Roman" w:hAnsi="Times New Roman" w:cs="Times New Roman"/>
                <w:szCs w:val="21"/>
              </w:rPr>
              <w:t>《</w:t>
            </w:r>
            <w:r>
              <w:rPr>
                <w:rFonts w:ascii="Times New Roman" w:hAnsi="Times New Roman" w:cs="Times New Roman"/>
                <w:szCs w:val="21"/>
              </w:rPr>
              <w:t>电感耦合等离子体质谱技术与应用</w:t>
            </w:r>
            <w:r>
              <w:rPr>
                <w:rFonts w:hint="eastAsia" w:ascii="Times New Roman" w:hAnsi="Times New Roman" w:cs="Times New Roman"/>
                <w:szCs w:val="21"/>
              </w:rPr>
              <w:t>》</w:t>
            </w:r>
            <w:r>
              <w:rPr>
                <w:rFonts w:ascii="Times New Roman" w:hAnsi="Times New Roman" w:cs="Times New Roman"/>
                <w:szCs w:val="21"/>
              </w:rPr>
              <w:t>，化学工业出版社，2005.</w:t>
            </w:r>
          </w:p>
          <w:p>
            <w:pPr>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刘丛强等编，《生物地球化学过程与地表物质循环》，科学出版社，2009</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4.J R Dean, Methods for Environmental Trace Analysis, John Wiley &amp; Sons, Ltd. (UK), 2003. </w:t>
            </w:r>
          </w:p>
          <w:p>
            <w:pPr>
              <w:rPr>
                <w:rFonts w:ascii="Times New Roman" w:hAnsi="Times New Roman" w:cs="Times New Roman"/>
                <w:szCs w:val="21"/>
              </w:rPr>
            </w:pPr>
            <w:r>
              <w:rPr>
                <w:rFonts w:ascii="Times New Roman" w:hAnsi="Times New Roman" w:cs="Times New Roman"/>
                <w:szCs w:val="21"/>
              </w:rPr>
              <w:t>5.R P Schwrzenbach, P M Gschwend &amp; D M Imboden, Environmental Organic Chemistry, John Wiley &amp; Sons, Lnc., 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河口海岸学</w:t>
            </w:r>
          </w:p>
          <w:p>
            <w:pPr>
              <w:spacing w:line="400" w:lineRule="exact"/>
              <w:rPr>
                <w:rFonts w:ascii="Times New Roman" w:hAnsi="Times New Roman" w:cs="Times New Roman"/>
                <w:szCs w:val="21"/>
              </w:rPr>
            </w:pPr>
          </w:p>
        </w:tc>
        <w:tc>
          <w:tcPr>
            <w:tcW w:w="7963" w:type="dxa"/>
          </w:tcPr>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.赵今声等编，《河口海岸动力学》，海洋出版社，1993年.</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2.Thomas S. Bianchi著，姚庆祯、姚鹏译，《河口生物地球化学》，海洋出版社，2017年.</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3.A. Valle-Levinson, Contemporary Issues in Estuarine Physics, Cambridge University Press, 2010.</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4.Beer,T. et al. Global Change and Future Earth, Cambridge University Press, 2018. </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5.Day, J W.et al. Estuarine Ecology (Second Edition), John Wiley &amp; Sons, Inc. , 2012.</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6.Eric Olausson and Ingemar Cato, Chemistry and Biogeochemistry of Estuaries, New York Wiley, 1980.</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7.Frank J. Millero, Chemical Oceanography (Forth Edition), CRC Press, 2016.</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8.Jean-Marie Beckers and Benoit Cushman-Roisin, Introduction to Geophysical Fluid Dynamics: Physical and Numerical Aspects (Second Edition), Academic Press, 2011.</w:t>
            </w:r>
          </w:p>
          <w:p>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9.Judith Bosboom and Marcel J.F.Stive, Coastal Dynamics, TU Delft Open, 2021.</w:t>
            </w:r>
          </w:p>
          <w:p>
            <w:pPr>
              <w:rPr>
                <w:rFonts w:ascii="Times New Roman" w:hAnsi="Times New Roman" w:cs="Times New Roman"/>
                <w:szCs w:val="21"/>
              </w:rPr>
            </w:pPr>
            <w:r>
              <w:rPr>
                <w:rFonts w:ascii="Times New Roman" w:hAnsi="Times New Roman" w:eastAsia="宋体" w:cs="Times New Roman"/>
                <w:color w:val="000000" w:themeColor="text1"/>
                <w:szCs w:val="21"/>
                <w14:textFill>
                  <w14:solidFill>
                    <w14:schemeClr w14:val="tx1"/>
                  </w14:solidFill>
                </w14:textFill>
              </w:rPr>
              <w:t>10.Odum, H. T. Systems Ecology – An Introduction, John Wiley &amp; Sons, Inc. , 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ascii="Times New Roman" w:hAnsi="Times New Roman" w:cs="Times New Roman" w:eastAsiaTheme="minorEastAsia"/>
                <w:kern w:val="2"/>
                <w:sz w:val="21"/>
              </w:rPr>
              <w:t>河口海岸前沿技术</w:t>
            </w:r>
          </w:p>
          <w:p>
            <w:pPr>
              <w:spacing w:line="400" w:lineRule="exact"/>
              <w:rPr>
                <w:rFonts w:ascii="Times New Roman" w:hAnsi="Times New Roman" w:cs="Times New Roman"/>
                <w:szCs w:val="21"/>
              </w:rPr>
            </w:pPr>
          </w:p>
        </w:tc>
        <w:tc>
          <w:tcPr>
            <w:tcW w:w="7963" w:type="dxa"/>
            <w:vAlign w:val="center"/>
          </w:tcPr>
          <w:p>
            <w:pPr>
              <w:rPr>
                <w:rStyle w:val="42"/>
                <w:rFonts w:ascii="Times New Roman" w:hAnsi="Times New Roman" w:eastAsia="宋体" w:cs="Times New Roman"/>
                <w:color w:val="000000" w:themeColor="text1"/>
                <w14:textFill>
                  <w14:solidFill>
                    <w14:schemeClr w14:val="tx1"/>
                  </w14:solidFill>
                </w14:textFill>
              </w:rPr>
            </w:pPr>
            <w:r>
              <w:rPr>
                <w:rStyle w:val="42"/>
                <w:rFonts w:hint="eastAsia" w:ascii="Times New Roman" w:hAnsi="Times New Roman" w:eastAsia="宋体" w:cs="Times New Roman"/>
                <w:color w:val="000000" w:themeColor="text1"/>
                <w14:textFill>
                  <w14:solidFill>
                    <w14:schemeClr w14:val="tx1"/>
                  </w14:solidFill>
                </w14:textFill>
              </w:rPr>
              <w:t>1</w:t>
            </w:r>
            <w:r>
              <w:rPr>
                <w:rStyle w:val="42"/>
                <w:rFonts w:ascii="Times New Roman" w:hAnsi="Times New Roman" w:eastAsia="宋体" w:cs="Times New Roman"/>
                <w:color w:val="000000" w:themeColor="text1"/>
                <w14:textFill>
                  <w14:solidFill>
                    <w14:schemeClr w14:val="tx1"/>
                  </w14:solidFill>
                </w14:textFill>
              </w:rPr>
              <w:t xml:space="preserve">.侍茂崇主编，《海洋调查方法导论》，中国海洋大学出版社，2008. </w:t>
            </w:r>
          </w:p>
          <w:p>
            <w:pPr>
              <w:rPr>
                <w:rStyle w:val="42"/>
                <w:rFonts w:ascii="Times New Roman" w:hAnsi="Times New Roman" w:eastAsia="宋体" w:cs="Times New Roman"/>
                <w:color w:val="000000" w:themeColor="text1"/>
                <w14:textFill>
                  <w14:solidFill>
                    <w14:schemeClr w14:val="tx1"/>
                  </w14:solidFill>
                </w14:textFill>
              </w:rPr>
            </w:pPr>
            <w:r>
              <w:rPr>
                <w:rStyle w:val="42"/>
                <w:rFonts w:hint="eastAsia" w:ascii="Times New Roman" w:hAnsi="Times New Roman" w:eastAsia="宋体" w:cs="Times New Roman"/>
                <w:color w:val="000000" w:themeColor="text1"/>
                <w14:textFill>
                  <w14:solidFill>
                    <w14:schemeClr w14:val="tx1"/>
                  </w14:solidFill>
                </w14:textFill>
              </w:rPr>
              <w:t>2</w:t>
            </w:r>
            <w:r>
              <w:rPr>
                <w:rStyle w:val="42"/>
                <w:rFonts w:ascii="Times New Roman" w:hAnsi="Times New Roman" w:eastAsia="宋体" w:cs="Times New Roman"/>
                <w:color w:val="000000" w:themeColor="text1"/>
                <w14:textFill>
                  <w14:solidFill>
                    <w14:schemeClr w14:val="tx1"/>
                  </w14:solidFill>
                </w14:textFill>
              </w:rPr>
              <w:t>.杨鲲等编，《海洋调查技术及应用》，武汉大学出版社，2009.</w:t>
            </w:r>
          </w:p>
          <w:p>
            <w:pPr>
              <w:rPr>
                <w:rFonts w:ascii="Times New Roman" w:hAnsi="Times New Roman" w:eastAsia="宋体" w:cs="Times New Roman"/>
                <w:color w:val="000000" w:themeColor="text1"/>
                <w:szCs w:val="21"/>
                <w14:textFill>
                  <w14:solidFill>
                    <w14:schemeClr w14:val="tx1"/>
                  </w14:solidFill>
                </w14:textFill>
              </w:rPr>
            </w:pPr>
            <w:r>
              <w:rPr>
                <w:rStyle w:val="42"/>
                <w:rFonts w:hint="eastAsia" w:ascii="Times New Roman" w:hAnsi="Times New Roman" w:eastAsia="宋体" w:cs="Times New Roman"/>
                <w:color w:val="000000" w:themeColor="text1"/>
                <w14:textFill>
                  <w14:solidFill>
                    <w14:schemeClr w14:val="tx1"/>
                  </w14:solidFill>
                </w14:textFill>
              </w:rPr>
              <w:t>3</w:t>
            </w:r>
            <w:r>
              <w:rPr>
                <w:rStyle w:val="42"/>
                <w:rFonts w:ascii="Times New Roman" w:hAnsi="Times New Roman" w:eastAsia="宋体" w:cs="Times New Roman"/>
                <w:color w:val="000000" w:themeColor="text1"/>
                <w14:textFill>
                  <w14:solidFill>
                    <w14:schemeClr w14:val="tx1"/>
                  </w14:solidFill>
                </w14:textFill>
              </w:rPr>
              <w:t>.陈令新等编，《海洋环境分析监测技术》，科学出版社，2018.</w:t>
            </w:r>
            <w:r>
              <w:rPr>
                <w:rFonts w:ascii="Times New Roman" w:hAnsi="Times New Roman" w:eastAsia="宋体" w:cs="Times New Roman"/>
                <w:color w:val="000000" w:themeColor="text1"/>
                <w:szCs w:val="21"/>
                <w14:textFill>
                  <w14:solidFill>
                    <w14:schemeClr w14:val="tx1"/>
                  </w14:solidFill>
                </w14:textFill>
              </w:rPr>
              <w:t>4. 朱明华编，《仪器分析》，高等教育出版社，2000年.</w:t>
            </w:r>
          </w:p>
          <w:p>
            <w:pP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.武汉大学化学系编，《仪器分析》，高等教育出版社，2001年.</w:t>
            </w:r>
          </w:p>
          <w:p>
            <w:pPr>
              <w:rPr>
                <w:rFonts w:ascii="Times New Roman" w:hAnsi="Times New Roman" w:cs="Times New Roman"/>
                <w:szCs w:val="21"/>
              </w:rPr>
            </w:pP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.叶宪曾, 张新祥等编，《仪器分析教程》，北京大学出版社，2007年.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77" w:type="dxa"/>
            <w:vAlign w:val="center"/>
          </w:tcPr>
          <w:p>
            <w:pPr>
              <w:pStyle w:val="40"/>
              <w:jc w:val="left"/>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河口海岸研究进展</w:t>
            </w:r>
          </w:p>
        </w:tc>
        <w:tc>
          <w:tcPr>
            <w:tcW w:w="7963" w:type="dxa"/>
          </w:tcPr>
          <w:p>
            <w:pPr>
              <w:rPr>
                <w:rFonts w:ascii="Times New Roman" w:hAnsi="Times New Roman" w:cs="Times New Roman"/>
                <w:szCs w:val="21"/>
              </w:rPr>
            </w:pPr>
            <w:r>
              <w:rPr>
                <w:rFonts w:hint="eastAsia" w:ascii="Times New Roman" w:hAnsi="Times New Roman" w:cs="Times New Roman"/>
                <w:szCs w:val="21"/>
              </w:rPr>
              <w:t>系列讲座，无教材或参考用书</w:t>
            </w:r>
          </w:p>
        </w:tc>
      </w:tr>
    </w:tbl>
    <w:p>
      <w:pPr>
        <w:spacing w:before="240"/>
        <w:rPr>
          <w:rFonts w:ascii="Times New Roman" w:hAnsi="Times New Roman" w:cs="Times New Roman"/>
          <w:szCs w:val="21"/>
        </w:rPr>
      </w:pPr>
    </w:p>
    <w:p>
      <w:pPr>
        <w:spacing w:before="156" w:beforeLines="50" w:after="156" w:afterLines="50"/>
        <w:ind w:firstLine="480" w:firstLineChars="200"/>
        <w:rPr>
          <w:rFonts w:ascii="Times New Roman" w:hAnsi="Times New Roman" w:cs="Times New Roman"/>
          <w:szCs w:val="21"/>
        </w:rPr>
      </w:pPr>
      <w:r>
        <w:rPr>
          <w:rFonts w:ascii="Times New Roman" w:hAnsi="Times New Roman" w:eastAsia="黑体" w:cs="Times New Roman"/>
          <w:sz w:val="24"/>
          <w:szCs w:val="24"/>
        </w:rPr>
        <w:t>十一、基本文献阅读书目</w:t>
      </w:r>
      <w:r>
        <w:rPr>
          <w:rFonts w:ascii="Times New Roman" w:hAnsi="Times New Roman" w:cs="Times New Roman"/>
          <w:szCs w:val="21"/>
        </w:rPr>
        <w:t xml:space="preserve"> </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Bruce E. Rittmann, Perry L. McCarty著; 文湘华, 王建龙译. 环境生物技术: 原理与应用. 清华大学出版社, 2012年出版.</w:t>
      </w:r>
    </w:p>
    <w:p>
      <w:pPr>
        <w:pStyle w:val="33"/>
        <w:numPr>
          <w:ilvl w:val="0"/>
          <w:numId w:val="5"/>
        </w:numPr>
        <w:spacing w:line="240" w:lineRule="auto"/>
        <w:ind w:left="845" w:firstLineChars="0"/>
        <w:rPr>
          <w:rStyle w:val="42"/>
          <w:rFonts w:ascii="Times New Roman" w:hAnsi="Times New Roman" w:cs="Times New Roman" w:eastAsiaTheme="minorEastAsia"/>
        </w:rPr>
      </w:pPr>
      <w:r>
        <w:rPr>
          <w:rStyle w:val="42"/>
          <w:rFonts w:ascii="Times New Roman" w:hAnsi="Times New Roman" w:cs="Times New Roman" w:eastAsiaTheme="minorEastAsia"/>
        </w:rPr>
        <w:t>David A. Wright, Pamela Welbourn著; 朱琳译. 环境毒理学. 高等教育出版社, 2007年出版.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Lawrence K. Wang, et al., Advanced physiochemical treatment process, Handbook of environmental engineering Volume 4, Humana press Inc., 2006. </w:t>
      </w:r>
    </w:p>
    <w:p>
      <w:pPr>
        <w:pStyle w:val="33"/>
        <w:numPr>
          <w:ilvl w:val="0"/>
          <w:numId w:val="5"/>
        </w:numPr>
        <w:spacing w:line="240" w:lineRule="auto"/>
        <w:ind w:left="845" w:firstLineChars="0"/>
        <w:rPr>
          <w:rStyle w:val="42"/>
          <w:rFonts w:ascii="Times New Roman" w:hAnsi="Times New Roman" w:cs="Times New Roman" w:eastAsiaTheme="minorEastAsia"/>
        </w:rPr>
      </w:pPr>
      <w:r>
        <w:rPr>
          <w:rStyle w:val="42"/>
          <w:rFonts w:ascii="Times New Roman" w:hAnsi="Times New Roman" w:cs="Times New Roman" w:eastAsiaTheme="minorEastAsia"/>
        </w:rPr>
        <w:t>Michael C. Newman, Michael A. Unger著; 赵园, 王太平译. 生态毒理学原理. 化学工业出版社, 2007年出版.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Noel de Nevers. Air Pollution Control Engineering (second edition) 影印版（第2版），McGraw-Hill. 清华大学出版社, 2000年出版.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William P. Cunningham, Mary Ann Cunningham. 环境科学—全球关注的问题 （第13版）. 清华大学出版社, 2018年出版.</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Curtis D. Klaassen. 2013. Casarett and Doull's Toxicology: The Basic Science of Poisons (8th ed). New York, McGraw-Hill/Medical.</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Michael C. Newman. 2015. Fundamentals of Ecotoxicology: The Science of Pollution (4th ed). Boca Raton, CRC Press.</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Pepper I., Gerba C. and Gentry T. 2014. Environmental Microbiology. Academic Press.</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Madsen E. 2015. Environmental Microbiology: From Genomes to Biogeochemistry. Wiley-Blackwell Press.</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Streit W. and Daniel R. 2010. Metagenomics: Methods and Protocols. Humana Press.</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Stefan M. 2018. Advanced Oxidation Processes for Water Treatment: Fundamentals and Applications. London, IWA Publishing.</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Schwarzenbach R, Gschwend P, Imboden D. 2016. Environmental Organic Chemistry, 3rd Edition. New Jersey, John Wiley &amp; Sons Inc.</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Richard S, Sharon M, April K B, 2018. Revitalizing Urban Waterway Communities: Streams of Environmental Justice. Routledge Press.</w:t>
      </w:r>
    </w:p>
    <w:p>
      <w:pPr>
        <w:numPr>
          <w:ilvl w:val="0"/>
          <w:numId w:val="5"/>
        </w:numPr>
        <w:ind w:left="845"/>
        <w:jc w:val="left"/>
        <w:rPr>
          <w:rStyle w:val="42"/>
          <w:rFonts w:ascii="Times New Roman" w:hAnsi="Times New Roman" w:cs="Times New Roman" w:eastAsiaTheme="minorEastAsia"/>
        </w:rPr>
      </w:pPr>
      <w:r>
        <w:rPr>
          <w:rStyle w:val="42"/>
          <w:rFonts w:ascii="Times New Roman" w:hAnsi="Times New Roman" w:cs="Times New Roman" w:eastAsiaTheme="minorEastAsia"/>
        </w:rPr>
        <w:t>David G, 2019.  Water Ethics: A Values Approach to Solving the Water Crisis. Routledge Press.</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Overway K. S. 2017. Environmental Chemistry: An Analytical Approach. Wiley.</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Ibanez J.G., Hernandez-Esparza M., Doria-Serrano C., Fregoso-Infante A., Singh, M.M. 2007. Environmental Chemistry. Springer.</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Schwedt G. 2001. The Essential Guide to Environmental Chemistry. John Wiley &amp; Sons Inc.</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Rada E.C. 2015. Biological Treatment of Solid Waste: Enhancing Sustainability. Apple Academic Press.</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 xml:space="preserve">Zhao Y.C. and Lou Z. 2017. Pollution Control and Resource Recovery: Municipal Solid Wastes at Landfill, Elsevier Publisher Inc. </w:t>
      </w:r>
    </w:p>
    <w:p>
      <w:pPr>
        <w:pStyle w:val="33"/>
        <w:numPr>
          <w:ilvl w:val="0"/>
          <w:numId w:val="5"/>
        </w:numPr>
        <w:spacing w:line="240" w:lineRule="auto"/>
        <w:ind w:left="845" w:firstLineChars="0"/>
        <w:jc w:val="left"/>
        <w:rPr>
          <w:rStyle w:val="42"/>
          <w:rFonts w:ascii="Times New Roman" w:hAnsi="Times New Roman" w:cs="Times New Roman" w:eastAsiaTheme="minorEastAsia"/>
        </w:rPr>
      </w:pPr>
      <w:r>
        <w:rPr>
          <w:rStyle w:val="42"/>
          <w:rFonts w:ascii="Times New Roman" w:hAnsi="Times New Roman" w:cs="Times New Roman" w:eastAsiaTheme="minorEastAsia"/>
        </w:rPr>
        <w:t>Kumar S., Zhang Z., Awasthi M.K., Li R. 2019. Biological Processing of Solid Waste, CRC Press.</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戴树桂主编. 环境化学（第2版）. 高教出版社, 2010年出版.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高廷耀, 顾国维, 周琪. 水污染控制工程（第4版）. 高等教育出版社, 2015年出版.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郝吉明, 马广大, 王书肖. 大气污染控制工程（第3版）. 高等教育出版社, 2010年出版.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黄民生, 陈振楼主编. 城市内河污染治理与生态修复——理论、方法与实践. 科学出版社, 2010年出版.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江桂斌, 刘维屏主编. 环境化学前沿. 科学出版社, 2017年出版.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贾海峰等编著. 城市河流环境修复技术原理及实践城市河道水环境污染与环境修复技术. 化学工业出版社, 2017年出版.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骆永明. 土壤污染特征、过程与有效性. 科学出版社, 2016年出版.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罗育池等. 地下水污染防控技术：防渗、修复与监控. 科学出版社, 2018年出版.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马溪平, 徐成斌, 付保荣等编著. 厌氧微生物学与污水处理（第2版）. 化学工业出版社, 2017年出版.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史家梁, 徐亚同等. 环境微生物学. 华东师范大学出版社, 1993年出版.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徐亚同, 谢冰编著. 废水生物处理的运行与管理（第二版）. 中国轻工业出版, 2009年出版.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叶文虎, 张勇编著. 环境管理学（第3版）. 高等教育出版社, 2013年出版.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周群英, 王士芬. 环境工程微生物学（第4版）. 高等教育出版社, 2015年出版.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[英]西蒙贾德（Judd, S）著; 陈福泰, 黄霞译. 膜生物反应器: 水和污水处理的原理与应用. 科学出版社, 2010年出版.</w:t>
      </w:r>
    </w:p>
    <w:p>
      <w:pPr>
        <w:numPr>
          <w:ilvl w:val="0"/>
          <w:numId w:val="5"/>
        </w:numPr>
        <w:ind w:left="845"/>
        <w:rPr>
          <w:rStyle w:val="42"/>
          <w:rFonts w:ascii="Times New Roman" w:hAnsi="Times New Roman" w:cs="Times New Roman" w:eastAsiaTheme="minorEastAsia"/>
        </w:rPr>
      </w:pPr>
      <w:r>
        <w:rPr>
          <w:rStyle w:val="42"/>
          <w:rFonts w:ascii="Times New Roman" w:hAnsi="Times New Roman" w:cs="Times New Roman" w:eastAsiaTheme="minorEastAsia"/>
        </w:rPr>
        <w:t>[美]托马斯, [美]威廉著; 张钟宪等译. 环境化学. 清华大学出版社, 2007年出版.</w:t>
      </w:r>
    </w:p>
    <w:sectPr>
      <w:footerReference r:id="rId3" w:type="default"/>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12640"/>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48766"/>
    <w:multiLevelType w:val="singleLevel"/>
    <w:tmpl w:val="A0C48766"/>
    <w:lvl w:ilvl="0" w:tentative="0">
      <w:start w:val="1"/>
      <w:numFmt w:val="decimalEnclosedCircleChinese"/>
      <w:suff w:val="nothing"/>
      <w:lvlText w:val="%1　"/>
      <w:lvlJc w:val="left"/>
      <w:pPr>
        <w:ind w:left="0" w:firstLine="454"/>
      </w:pPr>
      <w:rPr>
        <w:rFonts w:hint="eastAsia"/>
      </w:rPr>
    </w:lvl>
  </w:abstractNum>
  <w:abstractNum w:abstractNumId="1">
    <w:nsid w:val="D8C6C09F"/>
    <w:multiLevelType w:val="singleLevel"/>
    <w:tmpl w:val="D8C6C09F"/>
    <w:lvl w:ilvl="0" w:tentative="0">
      <w:start w:val="1"/>
      <w:numFmt w:val="decimalEnclosedCircleChinese"/>
      <w:suff w:val="nothing"/>
      <w:lvlText w:val="%1　"/>
      <w:lvlJc w:val="left"/>
      <w:pPr>
        <w:ind w:left="0" w:firstLine="454"/>
      </w:pPr>
      <w:rPr>
        <w:rFonts w:hint="eastAsia"/>
      </w:rPr>
    </w:lvl>
  </w:abstractNum>
  <w:abstractNum w:abstractNumId="2">
    <w:nsid w:val="28116457"/>
    <w:multiLevelType w:val="singleLevel"/>
    <w:tmpl w:val="28116457"/>
    <w:lvl w:ilvl="0" w:tentative="0">
      <w:start w:val="1"/>
      <w:numFmt w:val="decimalEnclosedCircleChinese"/>
      <w:suff w:val="nothing"/>
      <w:lvlText w:val="%1　"/>
      <w:lvlJc w:val="left"/>
      <w:pPr>
        <w:ind w:left="0" w:firstLine="400"/>
      </w:pPr>
      <w:rPr>
        <w:rFonts w:hint="eastAsia"/>
      </w:rPr>
    </w:lvl>
  </w:abstractNum>
  <w:abstractNum w:abstractNumId="3">
    <w:nsid w:val="367A9CF2"/>
    <w:multiLevelType w:val="singleLevel"/>
    <w:tmpl w:val="367A9CF2"/>
    <w:lvl w:ilvl="0" w:tentative="0">
      <w:start w:val="1"/>
      <w:numFmt w:val="decimalEnclosedCircleChinese"/>
      <w:suff w:val="nothing"/>
      <w:lvlText w:val="%1　"/>
      <w:lvlJc w:val="left"/>
      <w:pPr>
        <w:ind w:left="0" w:firstLine="454"/>
      </w:pPr>
      <w:rPr>
        <w:rFonts w:hint="eastAsia"/>
      </w:rPr>
    </w:lvl>
  </w:abstractNum>
  <w:abstractNum w:abstractNumId="4">
    <w:nsid w:val="60415D0E"/>
    <w:multiLevelType w:val="singleLevel"/>
    <w:tmpl w:val="60415D0E"/>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4A"/>
    <w:rsid w:val="000005FA"/>
    <w:rsid w:val="0001321E"/>
    <w:rsid w:val="00013FD8"/>
    <w:rsid w:val="00025584"/>
    <w:rsid w:val="00025618"/>
    <w:rsid w:val="00027E6F"/>
    <w:rsid w:val="000363B6"/>
    <w:rsid w:val="000365B6"/>
    <w:rsid w:val="00043436"/>
    <w:rsid w:val="000446E6"/>
    <w:rsid w:val="00047BBA"/>
    <w:rsid w:val="00052286"/>
    <w:rsid w:val="00072580"/>
    <w:rsid w:val="000854DE"/>
    <w:rsid w:val="00086B54"/>
    <w:rsid w:val="0008779A"/>
    <w:rsid w:val="00096BE2"/>
    <w:rsid w:val="000C24EE"/>
    <w:rsid w:val="000D6055"/>
    <w:rsid w:val="000D65E0"/>
    <w:rsid w:val="000D74E7"/>
    <w:rsid w:val="000D7AC7"/>
    <w:rsid w:val="000E18C1"/>
    <w:rsid w:val="000E280C"/>
    <w:rsid w:val="000E2E64"/>
    <w:rsid w:val="000E3724"/>
    <w:rsid w:val="00101B84"/>
    <w:rsid w:val="001042F5"/>
    <w:rsid w:val="00106A3E"/>
    <w:rsid w:val="00112532"/>
    <w:rsid w:val="00113BAC"/>
    <w:rsid w:val="001142B3"/>
    <w:rsid w:val="001271F8"/>
    <w:rsid w:val="001272F2"/>
    <w:rsid w:val="001321E3"/>
    <w:rsid w:val="00132FC5"/>
    <w:rsid w:val="001358D5"/>
    <w:rsid w:val="00147E24"/>
    <w:rsid w:val="00153494"/>
    <w:rsid w:val="0015580E"/>
    <w:rsid w:val="00155F8E"/>
    <w:rsid w:val="00160737"/>
    <w:rsid w:val="00160DC6"/>
    <w:rsid w:val="00163915"/>
    <w:rsid w:val="001670EF"/>
    <w:rsid w:val="00167926"/>
    <w:rsid w:val="00167F71"/>
    <w:rsid w:val="001772B1"/>
    <w:rsid w:val="00195556"/>
    <w:rsid w:val="001A4CCA"/>
    <w:rsid w:val="001B021F"/>
    <w:rsid w:val="001B5675"/>
    <w:rsid w:val="001C2DD7"/>
    <w:rsid w:val="001C32D8"/>
    <w:rsid w:val="001D5106"/>
    <w:rsid w:val="001F1554"/>
    <w:rsid w:val="001F6A09"/>
    <w:rsid w:val="001F6FD4"/>
    <w:rsid w:val="00213537"/>
    <w:rsid w:val="00223A4E"/>
    <w:rsid w:val="00226EFE"/>
    <w:rsid w:val="00233F4F"/>
    <w:rsid w:val="00241688"/>
    <w:rsid w:val="0024746E"/>
    <w:rsid w:val="00250562"/>
    <w:rsid w:val="00253F2F"/>
    <w:rsid w:val="00262250"/>
    <w:rsid w:val="0026288C"/>
    <w:rsid w:val="00264E7E"/>
    <w:rsid w:val="00270A23"/>
    <w:rsid w:val="00284BBB"/>
    <w:rsid w:val="002900A4"/>
    <w:rsid w:val="00295F8B"/>
    <w:rsid w:val="002A1E08"/>
    <w:rsid w:val="002B209A"/>
    <w:rsid w:val="002B29DF"/>
    <w:rsid w:val="002B34F6"/>
    <w:rsid w:val="002B6468"/>
    <w:rsid w:val="002C6509"/>
    <w:rsid w:val="002E1498"/>
    <w:rsid w:val="002F0D97"/>
    <w:rsid w:val="002F3A2F"/>
    <w:rsid w:val="003003DE"/>
    <w:rsid w:val="003056E4"/>
    <w:rsid w:val="00315291"/>
    <w:rsid w:val="0032321A"/>
    <w:rsid w:val="00327BEB"/>
    <w:rsid w:val="003375F8"/>
    <w:rsid w:val="00337779"/>
    <w:rsid w:val="00344466"/>
    <w:rsid w:val="00362C41"/>
    <w:rsid w:val="00363A25"/>
    <w:rsid w:val="0036663E"/>
    <w:rsid w:val="00372E8C"/>
    <w:rsid w:val="00376082"/>
    <w:rsid w:val="003800E8"/>
    <w:rsid w:val="003809D1"/>
    <w:rsid w:val="003820E7"/>
    <w:rsid w:val="003824E5"/>
    <w:rsid w:val="003874AD"/>
    <w:rsid w:val="003941B5"/>
    <w:rsid w:val="003A006D"/>
    <w:rsid w:val="003A12BC"/>
    <w:rsid w:val="003A773B"/>
    <w:rsid w:val="003A7D69"/>
    <w:rsid w:val="003B2DE8"/>
    <w:rsid w:val="003B3350"/>
    <w:rsid w:val="003B3954"/>
    <w:rsid w:val="003C2748"/>
    <w:rsid w:val="003D3C60"/>
    <w:rsid w:val="003E039F"/>
    <w:rsid w:val="003F2940"/>
    <w:rsid w:val="003F6B11"/>
    <w:rsid w:val="004026DD"/>
    <w:rsid w:val="0041139F"/>
    <w:rsid w:val="004128A6"/>
    <w:rsid w:val="00424684"/>
    <w:rsid w:val="00435D1C"/>
    <w:rsid w:val="00440921"/>
    <w:rsid w:val="004435CA"/>
    <w:rsid w:val="0044755C"/>
    <w:rsid w:val="00457EE7"/>
    <w:rsid w:val="004853DF"/>
    <w:rsid w:val="00494D01"/>
    <w:rsid w:val="004A0004"/>
    <w:rsid w:val="004A1F46"/>
    <w:rsid w:val="004B3FA8"/>
    <w:rsid w:val="004B5195"/>
    <w:rsid w:val="004B7E3C"/>
    <w:rsid w:val="004F2806"/>
    <w:rsid w:val="00502D30"/>
    <w:rsid w:val="00524C67"/>
    <w:rsid w:val="005253F6"/>
    <w:rsid w:val="0053797A"/>
    <w:rsid w:val="00540DF9"/>
    <w:rsid w:val="005411DA"/>
    <w:rsid w:val="00545F66"/>
    <w:rsid w:val="005507CB"/>
    <w:rsid w:val="005510E4"/>
    <w:rsid w:val="00577078"/>
    <w:rsid w:val="0058303A"/>
    <w:rsid w:val="005839CE"/>
    <w:rsid w:val="005B64BC"/>
    <w:rsid w:val="005C2D7A"/>
    <w:rsid w:val="005C500B"/>
    <w:rsid w:val="005C5944"/>
    <w:rsid w:val="005D17CC"/>
    <w:rsid w:val="005D379D"/>
    <w:rsid w:val="005D68C5"/>
    <w:rsid w:val="005E42A6"/>
    <w:rsid w:val="005E5133"/>
    <w:rsid w:val="005F2D87"/>
    <w:rsid w:val="005F3B62"/>
    <w:rsid w:val="006018C7"/>
    <w:rsid w:val="00611894"/>
    <w:rsid w:val="00616D2A"/>
    <w:rsid w:val="00620145"/>
    <w:rsid w:val="00624941"/>
    <w:rsid w:val="006332C9"/>
    <w:rsid w:val="00633B9F"/>
    <w:rsid w:val="00652EF7"/>
    <w:rsid w:val="00657769"/>
    <w:rsid w:val="006610FE"/>
    <w:rsid w:val="00663E67"/>
    <w:rsid w:val="00664960"/>
    <w:rsid w:val="00665C5C"/>
    <w:rsid w:val="00673F39"/>
    <w:rsid w:val="00676A7C"/>
    <w:rsid w:val="00685449"/>
    <w:rsid w:val="006B2376"/>
    <w:rsid w:val="006B65DB"/>
    <w:rsid w:val="006B7E39"/>
    <w:rsid w:val="006C6A95"/>
    <w:rsid w:val="006D0FF5"/>
    <w:rsid w:val="006E2FA2"/>
    <w:rsid w:val="006E4AD9"/>
    <w:rsid w:val="0071285E"/>
    <w:rsid w:val="00715179"/>
    <w:rsid w:val="00724CDC"/>
    <w:rsid w:val="00727153"/>
    <w:rsid w:val="00735CDE"/>
    <w:rsid w:val="00736EC4"/>
    <w:rsid w:val="00740585"/>
    <w:rsid w:val="00741441"/>
    <w:rsid w:val="007416D2"/>
    <w:rsid w:val="007559C0"/>
    <w:rsid w:val="00761434"/>
    <w:rsid w:val="0076190D"/>
    <w:rsid w:val="007665E2"/>
    <w:rsid w:val="00772BE2"/>
    <w:rsid w:val="007873C0"/>
    <w:rsid w:val="00793F88"/>
    <w:rsid w:val="00796EA2"/>
    <w:rsid w:val="007A7458"/>
    <w:rsid w:val="007C328C"/>
    <w:rsid w:val="007C7607"/>
    <w:rsid w:val="007D3D26"/>
    <w:rsid w:val="007D4815"/>
    <w:rsid w:val="007E0EEA"/>
    <w:rsid w:val="007E1597"/>
    <w:rsid w:val="007F1C51"/>
    <w:rsid w:val="007F3BDD"/>
    <w:rsid w:val="00807958"/>
    <w:rsid w:val="008114FD"/>
    <w:rsid w:val="0081595C"/>
    <w:rsid w:val="00820D96"/>
    <w:rsid w:val="00823B04"/>
    <w:rsid w:val="00826B78"/>
    <w:rsid w:val="00826BFF"/>
    <w:rsid w:val="0083551F"/>
    <w:rsid w:val="0084221C"/>
    <w:rsid w:val="0085254B"/>
    <w:rsid w:val="0085716B"/>
    <w:rsid w:val="00860EB7"/>
    <w:rsid w:val="00862090"/>
    <w:rsid w:val="00871D6D"/>
    <w:rsid w:val="008725F8"/>
    <w:rsid w:val="00872693"/>
    <w:rsid w:val="00875A41"/>
    <w:rsid w:val="00880F1C"/>
    <w:rsid w:val="00881475"/>
    <w:rsid w:val="00882C12"/>
    <w:rsid w:val="00893D73"/>
    <w:rsid w:val="008A4DE1"/>
    <w:rsid w:val="008A7FD2"/>
    <w:rsid w:val="008B0A0C"/>
    <w:rsid w:val="008B5927"/>
    <w:rsid w:val="008B6CAF"/>
    <w:rsid w:val="008C5CDF"/>
    <w:rsid w:val="008C7C51"/>
    <w:rsid w:val="008E1F9E"/>
    <w:rsid w:val="008E2FF7"/>
    <w:rsid w:val="008F3F20"/>
    <w:rsid w:val="0092312A"/>
    <w:rsid w:val="00924157"/>
    <w:rsid w:val="00930603"/>
    <w:rsid w:val="00933BB9"/>
    <w:rsid w:val="009364FF"/>
    <w:rsid w:val="009403B5"/>
    <w:rsid w:val="0094177A"/>
    <w:rsid w:val="009476C3"/>
    <w:rsid w:val="00961A81"/>
    <w:rsid w:val="0097387E"/>
    <w:rsid w:val="00977E15"/>
    <w:rsid w:val="00984E9A"/>
    <w:rsid w:val="00990157"/>
    <w:rsid w:val="00994E22"/>
    <w:rsid w:val="009A68E4"/>
    <w:rsid w:val="009B5870"/>
    <w:rsid w:val="009B6A07"/>
    <w:rsid w:val="009C677B"/>
    <w:rsid w:val="009D219E"/>
    <w:rsid w:val="009D28EB"/>
    <w:rsid w:val="009E312F"/>
    <w:rsid w:val="009F63DC"/>
    <w:rsid w:val="00A11884"/>
    <w:rsid w:val="00A261BB"/>
    <w:rsid w:val="00A35702"/>
    <w:rsid w:val="00A365E2"/>
    <w:rsid w:val="00A40745"/>
    <w:rsid w:val="00A567AA"/>
    <w:rsid w:val="00A577A1"/>
    <w:rsid w:val="00A57EEF"/>
    <w:rsid w:val="00A70B14"/>
    <w:rsid w:val="00A739C2"/>
    <w:rsid w:val="00A81D6B"/>
    <w:rsid w:val="00A92A08"/>
    <w:rsid w:val="00A9605F"/>
    <w:rsid w:val="00AA6AA5"/>
    <w:rsid w:val="00AA7EEB"/>
    <w:rsid w:val="00AB6C09"/>
    <w:rsid w:val="00AC3122"/>
    <w:rsid w:val="00AE23BE"/>
    <w:rsid w:val="00AF54E6"/>
    <w:rsid w:val="00B20626"/>
    <w:rsid w:val="00B3697A"/>
    <w:rsid w:val="00B37AFC"/>
    <w:rsid w:val="00B54904"/>
    <w:rsid w:val="00B606AE"/>
    <w:rsid w:val="00B82817"/>
    <w:rsid w:val="00B8793C"/>
    <w:rsid w:val="00B91890"/>
    <w:rsid w:val="00B933C4"/>
    <w:rsid w:val="00BA64CB"/>
    <w:rsid w:val="00BA6BF2"/>
    <w:rsid w:val="00BB0BC7"/>
    <w:rsid w:val="00BB2C15"/>
    <w:rsid w:val="00BC1E20"/>
    <w:rsid w:val="00BC4790"/>
    <w:rsid w:val="00BD077B"/>
    <w:rsid w:val="00BE0224"/>
    <w:rsid w:val="00BE5F4A"/>
    <w:rsid w:val="00BE649C"/>
    <w:rsid w:val="00BF27D0"/>
    <w:rsid w:val="00BF3697"/>
    <w:rsid w:val="00C0521B"/>
    <w:rsid w:val="00C068C9"/>
    <w:rsid w:val="00C070E2"/>
    <w:rsid w:val="00C25AF6"/>
    <w:rsid w:val="00C270FF"/>
    <w:rsid w:val="00C35707"/>
    <w:rsid w:val="00C4172E"/>
    <w:rsid w:val="00C4173E"/>
    <w:rsid w:val="00C44452"/>
    <w:rsid w:val="00C461B2"/>
    <w:rsid w:val="00C569E7"/>
    <w:rsid w:val="00C64A27"/>
    <w:rsid w:val="00C67EBC"/>
    <w:rsid w:val="00C71E7F"/>
    <w:rsid w:val="00C77355"/>
    <w:rsid w:val="00C77387"/>
    <w:rsid w:val="00C83874"/>
    <w:rsid w:val="00C85C0D"/>
    <w:rsid w:val="00C86B34"/>
    <w:rsid w:val="00CA1D8D"/>
    <w:rsid w:val="00CC2CCB"/>
    <w:rsid w:val="00CC44BA"/>
    <w:rsid w:val="00CD4A99"/>
    <w:rsid w:val="00CE17DE"/>
    <w:rsid w:val="00CE3B4C"/>
    <w:rsid w:val="00CF05ED"/>
    <w:rsid w:val="00CF07DB"/>
    <w:rsid w:val="00CF2C32"/>
    <w:rsid w:val="00D0298C"/>
    <w:rsid w:val="00D02CBC"/>
    <w:rsid w:val="00D074AE"/>
    <w:rsid w:val="00D11991"/>
    <w:rsid w:val="00D17041"/>
    <w:rsid w:val="00D27407"/>
    <w:rsid w:val="00D30746"/>
    <w:rsid w:val="00D31E1A"/>
    <w:rsid w:val="00D34F56"/>
    <w:rsid w:val="00D51234"/>
    <w:rsid w:val="00D53CB7"/>
    <w:rsid w:val="00D65B53"/>
    <w:rsid w:val="00D701C6"/>
    <w:rsid w:val="00D718DE"/>
    <w:rsid w:val="00D720B0"/>
    <w:rsid w:val="00D72381"/>
    <w:rsid w:val="00D724FA"/>
    <w:rsid w:val="00D72C32"/>
    <w:rsid w:val="00D83174"/>
    <w:rsid w:val="00D97187"/>
    <w:rsid w:val="00DA609F"/>
    <w:rsid w:val="00DA7788"/>
    <w:rsid w:val="00DB1BA6"/>
    <w:rsid w:val="00DB41B1"/>
    <w:rsid w:val="00DB56D6"/>
    <w:rsid w:val="00DC3BD3"/>
    <w:rsid w:val="00DC5E59"/>
    <w:rsid w:val="00DC7106"/>
    <w:rsid w:val="00DD257B"/>
    <w:rsid w:val="00DD38F3"/>
    <w:rsid w:val="00DE7BDB"/>
    <w:rsid w:val="00DF4928"/>
    <w:rsid w:val="00DF5316"/>
    <w:rsid w:val="00E00185"/>
    <w:rsid w:val="00E06665"/>
    <w:rsid w:val="00E17FFE"/>
    <w:rsid w:val="00E26FD0"/>
    <w:rsid w:val="00E34418"/>
    <w:rsid w:val="00E52EBC"/>
    <w:rsid w:val="00E6066D"/>
    <w:rsid w:val="00E634A3"/>
    <w:rsid w:val="00E701F3"/>
    <w:rsid w:val="00E7491D"/>
    <w:rsid w:val="00E77447"/>
    <w:rsid w:val="00E779BA"/>
    <w:rsid w:val="00E83D17"/>
    <w:rsid w:val="00E903C5"/>
    <w:rsid w:val="00E92E06"/>
    <w:rsid w:val="00E95365"/>
    <w:rsid w:val="00EB2CBF"/>
    <w:rsid w:val="00EC3F55"/>
    <w:rsid w:val="00EC438A"/>
    <w:rsid w:val="00ED65CA"/>
    <w:rsid w:val="00EE03CA"/>
    <w:rsid w:val="00EE2A7E"/>
    <w:rsid w:val="00EE2FD6"/>
    <w:rsid w:val="00EF4A24"/>
    <w:rsid w:val="00EF4C0C"/>
    <w:rsid w:val="00EF5B24"/>
    <w:rsid w:val="00F01F3C"/>
    <w:rsid w:val="00F12B52"/>
    <w:rsid w:val="00F17824"/>
    <w:rsid w:val="00F22B56"/>
    <w:rsid w:val="00F23EFA"/>
    <w:rsid w:val="00F3090F"/>
    <w:rsid w:val="00F33870"/>
    <w:rsid w:val="00F357F5"/>
    <w:rsid w:val="00F54FEA"/>
    <w:rsid w:val="00F57603"/>
    <w:rsid w:val="00F669F9"/>
    <w:rsid w:val="00F80D03"/>
    <w:rsid w:val="00F81E16"/>
    <w:rsid w:val="00F85A9A"/>
    <w:rsid w:val="00F87DE6"/>
    <w:rsid w:val="00F97B91"/>
    <w:rsid w:val="00FA1A0C"/>
    <w:rsid w:val="00FA379B"/>
    <w:rsid w:val="00FA7D22"/>
    <w:rsid w:val="00FB4B9C"/>
    <w:rsid w:val="00FB7BBB"/>
    <w:rsid w:val="00FC1AD5"/>
    <w:rsid w:val="00FC702C"/>
    <w:rsid w:val="04276397"/>
    <w:rsid w:val="066E71FF"/>
    <w:rsid w:val="06AB1B6A"/>
    <w:rsid w:val="0D097A64"/>
    <w:rsid w:val="27391AC1"/>
    <w:rsid w:val="43D535FF"/>
    <w:rsid w:val="4AA67BE3"/>
    <w:rsid w:val="57F0638A"/>
    <w:rsid w:val="59A73CB4"/>
    <w:rsid w:val="6207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jc w:val="center"/>
      <w:outlineLvl w:val="0"/>
    </w:pPr>
    <w:rPr>
      <w:rFonts w:ascii="Times New Roman" w:hAnsi="Times New Roman" w:eastAsia="宋体" w:cs="Times New Roman"/>
      <w:b/>
      <w:sz w:val="30"/>
      <w:szCs w:val="20"/>
    </w:rPr>
  </w:style>
  <w:style w:type="paragraph" w:styleId="3">
    <w:name w:val="heading 2"/>
    <w:basedOn w:val="1"/>
    <w:next w:val="1"/>
    <w:link w:val="19"/>
    <w:qFormat/>
    <w:uiPriority w:val="0"/>
    <w:pPr>
      <w:keepNext/>
      <w:outlineLvl w:val="1"/>
    </w:pPr>
    <w:rPr>
      <w:rFonts w:ascii="Times New Roman" w:hAnsi="Times New Roman" w:eastAsia="宋体" w:cs="Times New Roman"/>
      <w:b/>
      <w:szCs w:val="2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Document Map"/>
    <w:basedOn w:val="1"/>
    <w:link w:val="32"/>
    <w:semiHidden/>
    <w:qFormat/>
    <w:uiPriority w:val="0"/>
    <w:pPr>
      <w:shd w:val="clear" w:color="auto" w:fill="000080"/>
    </w:pPr>
    <w:rPr>
      <w:rFonts w:ascii="Times New Roman" w:hAnsi="Times New Roman" w:eastAsia="宋体" w:cs="Times New Roman"/>
      <w:szCs w:val="20"/>
    </w:rPr>
  </w:style>
  <w:style w:type="paragraph" w:styleId="6">
    <w:name w:val="annotation text"/>
    <w:basedOn w:val="1"/>
    <w:link w:val="39"/>
    <w:semiHidden/>
    <w:unhideWhenUsed/>
    <w:qFormat/>
    <w:uiPriority w:val="99"/>
    <w:pPr>
      <w:jc w:val="left"/>
    </w:pPr>
  </w:style>
  <w:style w:type="paragraph" w:styleId="7">
    <w:name w:val="Body Text"/>
    <w:basedOn w:val="1"/>
    <w:link w:val="26"/>
    <w:semiHidden/>
    <w:unhideWhenUsed/>
    <w:uiPriority w:val="99"/>
    <w:pPr>
      <w:spacing w:after="120"/>
    </w:pPr>
  </w:style>
  <w:style w:type="paragraph" w:styleId="8">
    <w:name w:val="Plain Text"/>
    <w:basedOn w:val="1"/>
    <w:link w:val="47"/>
    <w:unhideWhenUsed/>
    <w:qFormat/>
    <w:uiPriority w:val="0"/>
    <w:rPr>
      <w:rFonts w:ascii="宋体" w:hAnsi="Courier New" w:eastAsia="宋体" w:cs="Times New Roman"/>
      <w:szCs w:val="20"/>
    </w:rPr>
  </w:style>
  <w:style w:type="paragraph" w:styleId="9">
    <w:name w:val="Balloon Text"/>
    <w:basedOn w:val="1"/>
    <w:link w:val="20"/>
    <w:unhideWhenUsed/>
    <w:qFormat/>
    <w:uiPriority w:val="0"/>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3">
    <w:name w:val="Title"/>
    <w:basedOn w:val="1"/>
    <w:next w:val="1"/>
    <w:link w:val="28"/>
    <w:qFormat/>
    <w:uiPriority w:val="10"/>
    <w:pPr>
      <w:spacing w:before="240" w:after="60"/>
      <w:jc w:val="center"/>
      <w:outlineLvl w:val="0"/>
    </w:pPr>
    <w:rPr>
      <w:rFonts w:ascii="Calibri Light" w:hAnsi="Calibri Light" w:eastAsia="宋体" w:cs="Times New Roman"/>
      <w:b/>
      <w:bCs/>
      <w:kern w:val="0"/>
      <w:sz w:val="32"/>
      <w:szCs w:val="32"/>
    </w:rPr>
  </w:style>
  <w:style w:type="table" w:styleId="15">
    <w:name w:val="Table Grid"/>
    <w:basedOn w:val="1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customStyle="1" w:styleId="18">
    <w:name w:val="标题 1 字符"/>
    <w:basedOn w:val="16"/>
    <w:link w:val="2"/>
    <w:qFormat/>
    <w:uiPriority w:val="0"/>
    <w:rPr>
      <w:b/>
      <w:kern w:val="2"/>
      <w:sz w:val="30"/>
    </w:rPr>
  </w:style>
  <w:style w:type="character" w:customStyle="1" w:styleId="19">
    <w:name w:val="标题 2 字符"/>
    <w:basedOn w:val="16"/>
    <w:link w:val="3"/>
    <w:qFormat/>
    <w:uiPriority w:val="0"/>
    <w:rPr>
      <w:b/>
      <w:kern w:val="2"/>
      <w:sz w:val="21"/>
    </w:rPr>
  </w:style>
  <w:style w:type="character" w:customStyle="1" w:styleId="20">
    <w:name w:val="批注框文本 字符"/>
    <w:basedOn w:val="16"/>
    <w:link w:val="9"/>
    <w:qFormat/>
    <w:uiPriority w:val="0"/>
    <w:rPr>
      <w:sz w:val="18"/>
      <w:szCs w:val="18"/>
    </w:rPr>
  </w:style>
  <w:style w:type="character" w:customStyle="1" w:styleId="21">
    <w:name w:val="页脚 字符"/>
    <w:basedOn w:val="16"/>
    <w:link w:val="10"/>
    <w:qFormat/>
    <w:uiPriority w:val="99"/>
    <w:rPr>
      <w:sz w:val="18"/>
      <w:szCs w:val="18"/>
    </w:rPr>
  </w:style>
  <w:style w:type="character" w:customStyle="1" w:styleId="22">
    <w:name w:val="页眉 字符"/>
    <w:basedOn w:val="16"/>
    <w:link w:val="11"/>
    <w:uiPriority w:val="99"/>
    <w:rPr>
      <w:sz w:val="18"/>
      <w:szCs w:val="18"/>
    </w:rPr>
  </w:style>
  <w:style w:type="character" w:customStyle="1" w:styleId="23">
    <w:name w:val="HTML 预设格式 字符"/>
    <w:basedOn w:val="16"/>
    <w:link w:val="12"/>
    <w:semiHidden/>
    <w:qFormat/>
    <w:uiPriority w:val="99"/>
    <w:rPr>
      <w:rFonts w:ascii="Arial" w:hAnsi="Arial" w:eastAsia="宋体" w:cs="Arial"/>
      <w:kern w:val="0"/>
      <w:sz w:val="24"/>
      <w:szCs w:val="24"/>
    </w:rPr>
  </w:style>
  <w:style w:type="paragraph" w:customStyle="1" w:styleId="24">
    <w:name w:val="Table Paragraph"/>
    <w:basedOn w:val="1"/>
    <w:qFormat/>
    <w:uiPriority w:val="1"/>
    <w:pPr>
      <w:jc w:val="left"/>
    </w:pPr>
    <w:rPr>
      <w:kern w:val="0"/>
      <w:sz w:val="22"/>
      <w:lang w:eastAsia="en-US"/>
    </w:rPr>
  </w:style>
  <w:style w:type="paragraph" w:customStyle="1" w:styleId="25">
    <w:name w:val="填入的文字"/>
    <w:basedOn w:val="7"/>
    <w:link w:val="27"/>
    <w:qFormat/>
    <w:uiPriority w:val="0"/>
  </w:style>
  <w:style w:type="character" w:customStyle="1" w:styleId="26">
    <w:name w:val="正文文本 字符"/>
    <w:basedOn w:val="16"/>
    <w:link w:val="7"/>
    <w:semiHidden/>
    <w:qFormat/>
    <w:uiPriority w:val="99"/>
    <w:rPr>
      <w:rFonts w:asciiTheme="minorHAnsi" w:hAnsiTheme="minorHAnsi" w:eastAsiaTheme="minorEastAsia" w:cstheme="minorBidi"/>
      <w:kern w:val="2"/>
      <w:sz w:val="21"/>
      <w:szCs w:val="22"/>
    </w:rPr>
  </w:style>
  <w:style w:type="character" w:customStyle="1" w:styleId="27">
    <w:name w:val="填入的文字 Char"/>
    <w:basedOn w:val="26"/>
    <w:link w:val="25"/>
    <w:qFormat/>
    <w:uiPriority w:val="0"/>
    <w:rPr>
      <w:rFonts w:asciiTheme="minorHAnsi" w:hAnsiTheme="minorHAnsi" w:eastAsiaTheme="minorEastAsia" w:cstheme="minorBidi"/>
      <w:kern w:val="2"/>
      <w:sz w:val="21"/>
      <w:szCs w:val="22"/>
    </w:rPr>
  </w:style>
  <w:style w:type="character" w:customStyle="1" w:styleId="28">
    <w:name w:val="标题 字符"/>
    <w:link w:val="13"/>
    <w:qFormat/>
    <w:uiPriority w:val="10"/>
    <w:rPr>
      <w:rFonts w:ascii="Calibri Light" w:hAnsi="Calibri Light"/>
      <w:b/>
      <w:bCs/>
      <w:sz w:val="32"/>
      <w:szCs w:val="32"/>
    </w:rPr>
  </w:style>
  <w:style w:type="paragraph" w:customStyle="1" w:styleId="29">
    <w:name w:val="简单回函地址"/>
    <w:basedOn w:val="1"/>
    <w:uiPriority w:val="0"/>
    <w:rPr>
      <w:rFonts w:ascii="Times New Roman" w:hAnsi="Times New Roman" w:eastAsia="宋体" w:cs="Times New Roman"/>
      <w:szCs w:val="20"/>
    </w:rPr>
  </w:style>
  <w:style w:type="character" w:customStyle="1" w:styleId="30">
    <w:name w:val="标题 字符1"/>
    <w:basedOn w:val="16"/>
    <w:qFormat/>
    <w:uiPriority w:val="10"/>
    <w:rPr>
      <w:rFonts w:asciiTheme="majorHAnsi" w:hAnsiTheme="majorHAnsi" w:eastAsiaTheme="majorEastAsia" w:cstheme="majorBidi"/>
      <w:b/>
      <w:bCs/>
      <w:kern w:val="2"/>
      <w:sz w:val="32"/>
      <w:szCs w:val="32"/>
    </w:rPr>
  </w:style>
  <w:style w:type="character" w:customStyle="1" w:styleId="31">
    <w:name w:val="标题 Char1"/>
    <w:basedOn w:val="16"/>
    <w:uiPriority w:val="10"/>
    <w:rPr>
      <w:rFonts w:eastAsia="宋体" w:asciiTheme="majorHAnsi" w:hAnsiTheme="majorHAnsi" w:cstheme="majorBidi"/>
      <w:b/>
      <w:bCs/>
      <w:sz w:val="32"/>
      <w:szCs w:val="32"/>
    </w:rPr>
  </w:style>
  <w:style w:type="character" w:customStyle="1" w:styleId="32">
    <w:name w:val="文档结构图 字符"/>
    <w:basedOn w:val="16"/>
    <w:link w:val="5"/>
    <w:semiHidden/>
    <w:qFormat/>
    <w:uiPriority w:val="0"/>
    <w:rPr>
      <w:kern w:val="2"/>
      <w:sz w:val="21"/>
      <w:shd w:val="clear" w:color="auto" w:fill="000080"/>
    </w:rPr>
  </w:style>
  <w:style w:type="paragraph" w:styleId="33">
    <w:name w:val="List Paragraph"/>
    <w:basedOn w:val="1"/>
    <w:qFormat/>
    <w:uiPriority w:val="34"/>
    <w:pPr>
      <w:spacing w:line="360" w:lineRule="auto"/>
      <w:ind w:firstLine="420" w:firstLineChars="200"/>
    </w:pPr>
    <w:rPr>
      <w:rFonts w:ascii="Calibri" w:hAnsi="Calibri" w:eastAsia="宋体" w:cs="Calibri"/>
      <w:color w:val="000000" w:themeColor="text1"/>
      <w:sz w:val="24"/>
      <w:szCs w:val="21"/>
      <w14:textFill>
        <w14:solidFill>
          <w14:schemeClr w14:val="tx1"/>
        </w14:solidFill>
      </w14:textFill>
    </w:rPr>
  </w:style>
  <w:style w:type="character" w:customStyle="1" w:styleId="34">
    <w:name w:val="明显强调1"/>
    <w:basedOn w:val="16"/>
    <w:qFormat/>
    <w:uiPriority w:val="21"/>
    <w:rPr>
      <w:i/>
      <w:iCs/>
      <w:color w:val="5B9BD5" w:themeColor="accent1"/>
      <w14:textFill>
        <w14:solidFill>
          <w14:schemeClr w14:val="accent1"/>
        </w14:solidFill>
      </w14:textFill>
    </w:rPr>
  </w:style>
  <w:style w:type="paragraph" w:customStyle="1" w:styleId="35">
    <w:name w:val="图表名称"/>
    <w:basedOn w:val="1"/>
    <w:link w:val="36"/>
    <w:qFormat/>
    <w:uiPriority w:val="0"/>
    <w:pPr>
      <w:adjustRightInd w:val="0"/>
      <w:snapToGrid w:val="0"/>
      <w:spacing w:before="50" w:beforeLines="50" w:after="50" w:afterLines="50" w:line="500" w:lineRule="exact"/>
      <w:jc w:val="center"/>
    </w:pPr>
    <w:rPr>
      <w:rFonts w:ascii="Times New Roman" w:hAnsi="Times New Roman" w:eastAsia="华文楷体"/>
      <w:b/>
    </w:rPr>
  </w:style>
  <w:style w:type="character" w:customStyle="1" w:styleId="36">
    <w:name w:val="图表名称 Char"/>
    <w:basedOn w:val="16"/>
    <w:link w:val="35"/>
    <w:uiPriority w:val="0"/>
    <w:rPr>
      <w:rFonts w:eastAsia="华文楷体" w:cstheme="minorBidi"/>
      <w:b/>
      <w:kern w:val="2"/>
      <w:sz w:val="21"/>
      <w:szCs w:val="22"/>
    </w:rPr>
  </w:style>
  <w:style w:type="paragraph" w:customStyle="1" w:styleId="37">
    <w:name w:val="三级标题"/>
    <w:basedOn w:val="1"/>
    <w:link w:val="38"/>
    <w:qFormat/>
    <w:uiPriority w:val="0"/>
    <w:pPr>
      <w:widowControl/>
      <w:spacing w:before="50" w:beforeLines="50" w:after="50" w:afterLines="50" w:line="360" w:lineRule="auto"/>
    </w:pPr>
    <w:rPr>
      <w:rFonts w:ascii="Times New Roman" w:hAnsi="Times New Roman" w:eastAsia="黑体" w:cs="黑体"/>
      <w:b/>
      <w:color w:val="000000"/>
      <w:sz w:val="32"/>
    </w:rPr>
  </w:style>
  <w:style w:type="character" w:customStyle="1" w:styleId="38">
    <w:name w:val="三级标题 Char"/>
    <w:link w:val="37"/>
    <w:uiPriority w:val="0"/>
    <w:rPr>
      <w:rFonts w:eastAsia="黑体" w:cs="黑体"/>
      <w:b/>
      <w:color w:val="000000"/>
      <w:kern w:val="2"/>
      <w:sz w:val="32"/>
      <w:szCs w:val="22"/>
    </w:rPr>
  </w:style>
  <w:style w:type="character" w:customStyle="1" w:styleId="39">
    <w:name w:val="批注文字 字符"/>
    <w:basedOn w:val="16"/>
    <w:link w:val="6"/>
    <w:semiHidden/>
    <w:qFormat/>
    <w:uiPriority w:val="99"/>
    <w:rPr>
      <w:rFonts w:asciiTheme="minorHAnsi" w:hAnsiTheme="minorHAnsi" w:eastAsiaTheme="minorEastAsia" w:cstheme="minorBidi"/>
      <w:kern w:val="2"/>
      <w:sz w:val="21"/>
      <w:szCs w:val="22"/>
    </w:rPr>
  </w:style>
  <w:style w:type="paragraph" w:customStyle="1" w:styleId="40">
    <w:name w:val="表"/>
    <w:basedOn w:val="1"/>
    <w:qFormat/>
    <w:uiPriority w:val="0"/>
    <w:pPr>
      <w:spacing w:line="0" w:lineRule="atLeast"/>
    </w:pPr>
    <w:rPr>
      <w:rFonts w:eastAsia="华文细黑" w:cs="华文细黑"/>
      <w:kern w:val="10"/>
      <w:sz w:val="18"/>
      <w:szCs w:val="21"/>
    </w:rPr>
  </w:style>
  <w:style w:type="paragraph" w:customStyle="1" w:styleId="41">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42">
    <w:name w:val="华文黑"/>
    <w:basedOn w:val="16"/>
    <w:qFormat/>
    <w:uiPriority w:val="0"/>
    <w:rPr>
      <w:rFonts w:ascii="等线" w:hAnsi="等线" w:eastAsia="华文细黑" w:cs="等线"/>
      <w:sz w:val="21"/>
      <w:szCs w:val="21"/>
    </w:rPr>
  </w:style>
  <w:style w:type="paragraph" w:customStyle="1" w:styleId="43">
    <w:name w:val="华标2"/>
    <w:basedOn w:val="3"/>
    <w:next w:val="1"/>
    <w:link w:val="44"/>
    <w:qFormat/>
    <w:uiPriority w:val="0"/>
    <w:pPr>
      <w:keepLines/>
      <w:adjustRightInd w:val="0"/>
      <w:snapToGrid w:val="0"/>
      <w:spacing w:before="120" w:after="120" w:line="288" w:lineRule="auto"/>
      <w:jc w:val="left"/>
    </w:pPr>
    <w:rPr>
      <w:rFonts w:ascii="等线" w:hAnsi="等线" w:eastAsia="黑体" w:cs="黑体"/>
      <w:bCs/>
      <w:color w:val="2F5597" w:themeColor="accent5" w:themeShade="BF"/>
      <w:sz w:val="24"/>
      <w:szCs w:val="28"/>
    </w:rPr>
  </w:style>
  <w:style w:type="character" w:customStyle="1" w:styleId="44">
    <w:name w:val="华标2 Char"/>
    <w:link w:val="43"/>
    <w:qFormat/>
    <w:uiPriority w:val="0"/>
    <w:rPr>
      <w:rFonts w:ascii="等线" w:hAnsi="等线" w:eastAsia="黑体" w:cs="黑体"/>
      <w:b/>
      <w:bCs/>
      <w:color w:val="2F5597" w:themeColor="accent5" w:themeShade="BF"/>
      <w:kern w:val="2"/>
      <w:sz w:val="24"/>
      <w:szCs w:val="28"/>
    </w:rPr>
  </w:style>
  <w:style w:type="paragraph" w:customStyle="1" w:styleId="45">
    <w:name w:val="华表1"/>
    <w:basedOn w:val="1"/>
    <w:link w:val="46"/>
    <w:qFormat/>
    <w:uiPriority w:val="0"/>
    <w:pPr>
      <w:spacing w:line="480" w:lineRule="auto"/>
      <w:jc w:val="center"/>
    </w:pPr>
    <w:rPr>
      <w:rFonts w:ascii="华文细黑" w:hAnsi="华文细黑" w:eastAsia="华文细黑" w:cs="华文细黑"/>
      <w:b/>
      <w:bCs/>
      <w:szCs w:val="21"/>
    </w:rPr>
  </w:style>
  <w:style w:type="character" w:customStyle="1" w:styleId="46">
    <w:name w:val="华表1 Char"/>
    <w:link w:val="45"/>
    <w:qFormat/>
    <w:uiPriority w:val="0"/>
    <w:rPr>
      <w:rFonts w:ascii="华文细黑" w:hAnsi="华文细黑" w:eastAsia="华文细黑" w:cs="华文细黑"/>
      <w:b/>
      <w:bCs/>
      <w:kern w:val="2"/>
      <w:sz w:val="21"/>
      <w:szCs w:val="21"/>
    </w:rPr>
  </w:style>
  <w:style w:type="character" w:customStyle="1" w:styleId="47">
    <w:name w:val="纯文本 字符"/>
    <w:basedOn w:val="16"/>
    <w:link w:val="8"/>
    <w:uiPriority w:val="0"/>
    <w:rPr>
      <w:rFonts w:ascii="宋体" w:hAnsi="Courier New"/>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E57A8-24C0-44E0-A959-EB5DFEC06F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2601</Words>
  <Characters>14830</Characters>
  <Lines>123</Lines>
  <Paragraphs>34</Paragraphs>
  <TotalTime>11</TotalTime>
  <ScaleCrop>false</ScaleCrop>
  <LinksUpToDate>false</LinksUpToDate>
  <CharactersWithSpaces>17397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2021-07-18T12:05:00Z</dcterms:created>
  <dc:creator>DELL</dc:creator>
  <cp:lastModifiedBy>Y</cp:lastModifiedBy>
  <cp:lastPrinted>2021-07-21T09:37:00Z</cp:lastPrinted>
  <dcterms:modified xsi:type="dcterms:W3CDTF">2021-10-26T07:27:50Z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2C342EE9E9C2458D80C927C6D8893E78</vt:lpwstr>
  </property>
</Properties>
</file>