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ascii="宋体" w:hAnsi="宋体" w:eastAsia="宋体"/>
          <w:b/>
          <w:bCs/>
          <w:color w:val="000000"/>
          <w:sz w:val="32"/>
          <w:szCs w:val="32"/>
        </w:rPr>
      </w:pPr>
      <w:r>
        <w:rPr>
          <w:rFonts w:ascii="宋体" w:hAnsi="宋体" w:eastAsia="宋体"/>
          <w:b/>
          <w:bCs/>
          <w:color w:val="000000"/>
          <w:sz w:val="32"/>
          <w:szCs w:val="32"/>
        </w:rPr>
        <w:t>2021级全日制</w:t>
      </w:r>
      <w:r>
        <w:rPr>
          <w:rFonts w:hint="eastAsia" w:ascii="宋体" w:hAnsi="宋体" w:eastAsia="宋体"/>
          <w:b/>
          <w:bCs/>
          <w:color w:val="000000"/>
          <w:sz w:val="32"/>
          <w:szCs w:val="32"/>
        </w:rPr>
        <w:t>资源与环境</w:t>
      </w:r>
      <w:r>
        <w:rPr>
          <w:rFonts w:ascii="宋体" w:hAnsi="宋体" w:eastAsia="宋体"/>
          <w:b/>
          <w:bCs/>
          <w:color w:val="000000"/>
          <w:sz w:val="32"/>
          <w:szCs w:val="32"/>
        </w:rPr>
        <w:t>（</w:t>
      </w:r>
      <w:r>
        <w:rPr>
          <w:rFonts w:hint="eastAsia" w:ascii="宋体" w:hAnsi="宋体" w:eastAsia="宋体"/>
          <w:b/>
          <w:bCs/>
          <w:color w:val="000000"/>
          <w:sz w:val="32"/>
          <w:szCs w:val="32"/>
        </w:rPr>
        <w:t>环境工程</w:t>
      </w:r>
      <w:r>
        <w:rPr>
          <w:rFonts w:ascii="宋体" w:hAnsi="宋体" w:eastAsia="宋体"/>
          <w:b/>
          <w:bCs/>
          <w:color w:val="000000"/>
          <w:sz w:val="32"/>
          <w:szCs w:val="32"/>
        </w:rPr>
        <w:t>)</w:t>
      </w:r>
    </w:p>
    <w:p>
      <w:pPr>
        <w:snapToGrid w:val="0"/>
        <w:spacing w:line="440" w:lineRule="exact"/>
        <w:jc w:val="center"/>
        <w:rPr>
          <w:rFonts w:ascii="微软雅黑" w:hAnsi="微软雅黑" w:eastAsia="微软雅黑"/>
          <w:color w:val="333333"/>
          <w:sz w:val="22"/>
        </w:rPr>
      </w:pPr>
      <w:r>
        <w:rPr>
          <w:rFonts w:ascii="宋体" w:hAnsi="宋体" w:eastAsia="宋体"/>
          <w:b/>
          <w:bCs/>
          <w:color w:val="000000"/>
          <w:sz w:val="32"/>
          <w:szCs w:val="32"/>
        </w:rPr>
        <w:t>硕士专业学位研究生培养方案</w:t>
      </w:r>
    </w:p>
    <w:p>
      <w:pPr>
        <w:snapToGrid w:val="0"/>
        <w:spacing w:line="440" w:lineRule="exact"/>
        <w:jc w:val="center"/>
        <w:rPr>
          <w:rFonts w:ascii="微软雅黑" w:hAnsi="微软雅黑" w:eastAsia="微软雅黑"/>
          <w:color w:val="333333"/>
          <w:sz w:val="22"/>
        </w:rPr>
      </w:pPr>
      <w:r>
        <w:rPr>
          <w:rFonts w:ascii="宋体" w:hAnsi="宋体" w:eastAsia="宋体"/>
          <w:b/>
          <w:bCs/>
          <w:color w:val="000000"/>
          <w:sz w:val="28"/>
          <w:szCs w:val="28"/>
        </w:rPr>
        <w:t>（</w:t>
      </w:r>
      <w:r>
        <w:rPr>
          <w:rFonts w:hint="eastAsia" w:ascii="宋体" w:hAnsi="宋体" w:eastAsia="宋体"/>
          <w:b/>
          <w:bCs/>
          <w:color w:val="000000"/>
          <w:sz w:val="28"/>
          <w:szCs w:val="28"/>
        </w:rPr>
        <w:t>生态与环境科学学院</w:t>
      </w:r>
      <w:r>
        <w:rPr>
          <w:rFonts w:ascii="宋体" w:hAnsi="宋体" w:eastAsia="宋体"/>
          <w:b/>
          <w:bCs/>
          <w:color w:val="000000"/>
          <w:sz w:val="28"/>
          <w:szCs w:val="28"/>
        </w:rPr>
        <w:t>）</w:t>
      </w:r>
      <w:bookmarkStart w:id="0" w:name="_GoBack"/>
      <w:bookmarkEnd w:id="0"/>
    </w:p>
    <w:p>
      <w:pPr>
        <w:snapToGrid w:val="0"/>
        <w:jc w:val="center"/>
        <w:rPr>
          <w:rFonts w:ascii="微软雅黑" w:hAnsi="微软雅黑" w:eastAsia="微软雅黑"/>
          <w:color w:val="333333"/>
          <w:sz w:val="22"/>
        </w:rPr>
      </w:pPr>
    </w:p>
    <w:p>
      <w:pPr>
        <w:snapToGrid w:val="0"/>
        <w:spacing w:before="156" w:beforeLines="50" w:after="156" w:afterLines="50" w:line="320" w:lineRule="exact"/>
        <w:rPr>
          <w:rFonts w:ascii="微软雅黑" w:hAnsi="微软雅黑" w:eastAsia="微软雅黑"/>
          <w:color w:val="333333"/>
          <w:sz w:val="22"/>
        </w:rPr>
      </w:pPr>
      <w:r>
        <w:rPr>
          <w:rFonts w:ascii="黑体" w:hAnsi="黑体" w:eastAsia="黑体"/>
          <w:color w:val="000000"/>
          <w:sz w:val="24"/>
          <w:szCs w:val="24"/>
        </w:rPr>
        <w:t>一、专业简介、办学指导思想</w:t>
      </w:r>
    </w:p>
    <w:p>
      <w:pPr>
        <w:snapToGrid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环境工程是一门与土木工程、化学工程与技术、能源材料、生物学、生态学、气象学、管理学和社会学等多门学科交叉的工程学科，以自然、社会及人类活动相关的环境问题为对象，根据人类生产和社会活动对环境影响的认知，利用有关学基础学科的原理与方法和工程技术实施具体的规划、管理和工程措施，实现自然资源合理利用、清洁生产、防治环境污染，环境质量保护和改善，使社会、经济和环境可持续发展。华师大环境工程，主要结合学部地理、生态等优势学科基础，以及学院现有教职员工专业特点和学院未来发展规划，在环境技术开发、环境管理与环境生态工程等方向深耕的专业学位领域。</w:t>
      </w:r>
    </w:p>
    <w:p>
      <w:pPr>
        <w:snapToGrid w:val="0"/>
        <w:ind w:firstLine="420" w:firstLineChars="200"/>
        <w:rPr>
          <w:rFonts w:ascii="Times New Roman" w:hAnsi="Times New Roman" w:eastAsia="宋体" w:cs="Times New Roman"/>
          <w:sz w:val="24"/>
          <w:szCs w:val="24"/>
        </w:rPr>
      </w:pPr>
      <w:r>
        <w:rPr>
          <w:rFonts w:hint="eastAsia" w:ascii="Times New Roman" w:hAnsi="Times New Roman" w:eastAsia="宋体" w:cs="Times New Roman"/>
          <w:szCs w:val="21"/>
        </w:rPr>
        <w:t>办学指导思想为理论实践相结合，培养复合型人才，理论上既有环境工程技术研发基础、环境管理实务和生态学基础知识体系，实践中以解决复杂环境问题所涉及的方方面面进行锻炼，实现理论知识交融、实践解决问题能力双提升，目标为造就卓越工程师。</w:t>
      </w:r>
    </w:p>
    <w:p>
      <w:pPr>
        <w:snapToGrid w:val="0"/>
        <w:spacing w:before="156" w:beforeLines="50" w:after="156" w:afterLines="50" w:line="320" w:lineRule="exact"/>
        <w:rPr>
          <w:rFonts w:ascii="黑体" w:hAnsi="黑体" w:eastAsia="黑体"/>
          <w:color w:val="000000"/>
          <w:sz w:val="24"/>
          <w:szCs w:val="24"/>
        </w:rPr>
      </w:pPr>
      <w:r>
        <w:rPr>
          <w:rFonts w:ascii="黑体" w:hAnsi="黑体" w:eastAsia="黑体"/>
          <w:color w:val="000000"/>
          <w:sz w:val="24"/>
          <w:szCs w:val="24"/>
        </w:rPr>
        <w:t>二、培养目标</w:t>
      </w:r>
    </w:p>
    <w:p>
      <w:pPr>
        <w:snapToGrid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资源与环境（环境工程）硕士专业</w:t>
      </w:r>
      <w:r>
        <w:rPr>
          <w:rFonts w:ascii="Times New Roman" w:hAnsi="Times New Roman" w:eastAsia="宋体" w:cs="Times New Roman"/>
          <w:szCs w:val="21"/>
        </w:rPr>
        <w:t>学位是与工程领域任职资格相联系的专业性学位，培养应用型、复合型、高层次工程技术和工程管理人才。具体要求为：</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掌握马克思列宁主义、毛泽东思想、邓小平理论、</w:t>
      </w:r>
      <w:r>
        <w:rPr>
          <w:rFonts w:ascii="Times New Roman" w:hAnsi="Times New Roman" w:eastAsia="宋体" w:cs="Times New Roman"/>
          <w:szCs w:val="21"/>
        </w:rPr>
        <w:t>“</w:t>
      </w:r>
      <w:r>
        <w:rPr>
          <w:rFonts w:hint="eastAsia" w:ascii="Times New Roman" w:hAnsi="Times New Roman" w:eastAsia="宋体" w:cs="Times New Roman"/>
          <w:szCs w:val="21"/>
        </w:rPr>
        <w:t>三个代表</w:t>
      </w:r>
      <w:r>
        <w:rPr>
          <w:rFonts w:ascii="Times New Roman" w:hAnsi="Times New Roman" w:eastAsia="宋体" w:cs="Times New Roman"/>
          <w:szCs w:val="21"/>
        </w:rPr>
        <w:t>”</w:t>
      </w:r>
      <w:r>
        <w:rPr>
          <w:rFonts w:hint="eastAsia" w:ascii="Times New Roman" w:hAnsi="Times New Roman" w:eastAsia="宋体" w:cs="Times New Roman"/>
          <w:szCs w:val="21"/>
        </w:rPr>
        <w:t>重要思想、科学发展观、习近平新时代中国特色社会主义思想的基本理论，坚持四项基本原则，爱国守法，诚信公正，学风严谨，具有家国情怀，具备实事求是的科学态度和优良的职业道德，积极为社会主义现代化建设服务；</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2.掌握环境工程领域相关理论知识、先进技术方法和手段；</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3.具有较强解决实际问题的能力，在环境工程水、气、固废、生态工程等某一方向具有独立从事工程设计、工程实施、工程管理、工程研究、工程开发的能力；</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4.能承担专业技术或管理工作，具有良好的职业道德和职业素养</w:t>
      </w:r>
      <w:r>
        <w:rPr>
          <w:rFonts w:hint="eastAsia" w:ascii="Times New Roman" w:hAnsi="Times New Roman" w:eastAsia="宋体" w:cs="Times New Roman"/>
          <w:szCs w:val="21"/>
        </w:rPr>
        <w:t>；</w:t>
      </w:r>
    </w:p>
    <w:p>
      <w:pPr>
        <w:snapToGrid w:val="0"/>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具备一门专业外语的熟练使用能力。</w:t>
      </w:r>
    </w:p>
    <w:p>
      <w:pPr>
        <w:snapToGrid w:val="0"/>
        <w:spacing w:before="156" w:beforeLines="50" w:after="156" w:afterLines="50" w:line="320" w:lineRule="exact"/>
        <w:rPr>
          <w:rFonts w:ascii="黑体" w:hAnsi="黑体" w:eastAsia="黑体"/>
          <w:color w:val="000000"/>
          <w:sz w:val="24"/>
          <w:szCs w:val="24"/>
        </w:rPr>
      </w:pPr>
      <w:r>
        <w:rPr>
          <w:rFonts w:ascii="黑体" w:hAnsi="黑体" w:eastAsia="黑体"/>
          <w:color w:val="000000"/>
          <w:sz w:val="24"/>
          <w:szCs w:val="24"/>
        </w:rPr>
        <w:t>三、培养模式方式</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1.以解决实际环境问题的能力培养为导向，教学过程中加强案例教学、研讨式授课、模拟训练、情景教学等教学方法。</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2.重视研究生实践能力培养，促进实践与课程教学和学位论文工作的紧密结合，注重在实践中培养研究生解决实际问题的意识和能力等。</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3.研究生入学后在导师指导下确定专业发展方向、选修课程、开展校内课题活动等。 </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4.培养计划对研究生在学期间的学习起到规划和指导的作用。研究生入学后应在导师或导师小组指导下根据培养方案和教学计划制定个人培养计划，其内容包括培养过程中课程学习、专业实践、学位论文的规划。 </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培养计划应在研究生入学后两个月内完成，经导师同意后由</w:t>
      </w:r>
      <w:r>
        <w:rPr>
          <w:rFonts w:hint="eastAsia" w:ascii="Times New Roman" w:hAnsi="Times New Roman" w:eastAsia="宋体" w:cs="Times New Roman"/>
          <w:szCs w:val="21"/>
        </w:rPr>
        <w:t>院系</w:t>
      </w:r>
      <w:r>
        <w:rPr>
          <w:rFonts w:ascii="Times New Roman" w:hAnsi="Times New Roman" w:eastAsia="宋体" w:cs="Times New Roman"/>
          <w:szCs w:val="21"/>
        </w:rPr>
        <w:t>审核备案。如需更改需经过导师同意。</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5.积极倡导建立健全校内外“双导师制”，构建由校内导师和行业专家共同参与的“双导师”指导体系，共同承担实践教学和学位论文指导工作。校外导师应由具有丰富实践经验的专家担任，校外导师</w:t>
      </w:r>
      <w:r>
        <w:rPr>
          <w:rFonts w:hint="eastAsia" w:ascii="Times New Roman" w:hAnsi="Times New Roman" w:eastAsia="宋体" w:cs="Times New Roman"/>
          <w:szCs w:val="21"/>
        </w:rPr>
        <w:t>应</w:t>
      </w:r>
      <w:r>
        <w:rPr>
          <w:rFonts w:ascii="Times New Roman" w:hAnsi="Times New Roman" w:eastAsia="宋体" w:cs="Times New Roman"/>
          <w:szCs w:val="21"/>
        </w:rPr>
        <w:t xml:space="preserve">充分发挥其专业优势，积极参与课程教学、专业实践和学位论文指导等环节的工作。 </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6.采取全日制学习方式，环境工程硕士专业学位研究生基本学习年限为3年，最长学习年限为5年。</w:t>
      </w:r>
    </w:p>
    <w:p>
      <w:pPr>
        <w:snapToGrid w:val="0"/>
        <w:spacing w:before="156" w:beforeLines="50" w:after="156" w:afterLines="50" w:line="320" w:lineRule="exact"/>
        <w:rPr>
          <w:rFonts w:ascii="黑体" w:hAnsi="黑体" w:eastAsia="黑体"/>
          <w:color w:val="000000"/>
          <w:sz w:val="24"/>
          <w:szCs w:val="24"/>
        </w:rPr>
      </w:pPr>
      <w:r>
        <w:rPr>
          <w:rFonts w:ascii="黑体" w:hAnsi="黑体" w:eastAsia="黑体"/>
          <w:color w:val="000000"/>
          <w:sz w:val="24"/>
          <w:szCs w:val="24"/>
        </w:rPr>
        <w:t>四、领域</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1.水污染控制与修复工程方向；</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2.固体废弃物处理与资源化利用工程方向；</w:t>
      </w:r>
    </w:p>
    <w:p>
      <w:pPr>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3.国土空间生态恢复与环境生态工程方向等。</w:t>
      </w:r>
    </w:p>
    <w:p>
      <w:pPr>
        <w:snapToGrid w:val="0"/>
        <w:spacing w:before="156" w:beforeLines="50" w:after="156" w:afterLines="50" w:line="320" w:lineRule="exact"/>
        <w:rPr>
          <w:rFonts w:ascii="黑体" w:hAnsi="黑体" w:eastAsia="黑体"/>
          <w:color w:val="000000"/>
          <w:sz w:val="24"/>
          <w:szCs w:val="24"/>
        </w:rPr>
      </w:pPr>
      <w:r>
        <w:rPr>
          <w:rFonts w:ascii="黑体" w:hAnsi="黑体" w:eastAsia="黑体"/>
          <w:color w:val="000000"/>
          <w:sz w:val="24"/>
          <w:szCs w:val="24"/>
        </w:rPr>
        <w:t>五、培养环节与学分要求</w:t>
      </w:r>
    </w:p>
    <w:p>
      <w:pPr>
        <w:snapToGrid w:val="0"/>
        <w:spacing w:before="312" w:beforeLines="100" w:after="156" w:afterLines="50" w:line="320" w:lineRule="exact"/>
        <w:ind w:firstLine="420" w:firstLineChars="200"/>
        <w:rPr>
          <w:rFonts w:asciiTheme="minorEastAsia" w:hAnsiTheme="minorEastAsia"/>
          <w:color w:val="000000"/>
          <w:szCs w:val="21"/>
        </w:rPr>
      </w:pPr>
      <w:r>
        <w:rPr>
          <w:rFonts w:asciiTheme="minorEastAsia" w:hAnsiTheme="minorEastAsia"/>
          <w:color w:val="000000"/>
          <w:szCs w:val="21"/>
        </w:rPr>
        <w:t>（一）学术道德与规范</w:t>
      </w:r>
      <w:r>
        <w:rPr>
          <w:rFonts w:hint="eastAsia" w:asciiTheme="minorEastAsia" w:hAnsiTheme="minorEastAsia"/>
          <w:color w:val="000000"/>
          <w:szCs w:val="21"/>
        </w:rPr>
        <w:t>教育</w:t>
      </w:r>
    </w:p>
    <w:p>
      <w:pPr>
        <w:snapToGrid w:val="0"/>
        <w:ind w:firstLine="420" w:firstLineChars="200"/>
        <w:rPr>
          <w:rFonts w:ascii="Times New Roman" w:hAnsi="Times New Roman" w:eastAsia="宋体" w:cs="Times New Roman"/>
          <w:color w:val="333333"/>
          <w:sz w:val="24"/>
          <w:szCs w:val="24"/>
        </w:rPr>
      </w:pPr>
      <w:r>
        <w:rPr>
          <w:rFonts w:ascii="Times New Roman" w:hAnsi="Times New Roman" w:eastAsia="宋体" w:cs="Times New Roman"/>
          <w:color w:val="333333"/>
          <w:szCs w:val="24"/>
        </w:rPr>
        <w:t>学术规范是研究生在开展研究工作时必须遵守的基本规则。专业学位研究生</w:t>
      </w:r>
      <w:r>
        <w:rPr>
          <w:rFonts w:hint="eastAsia" w:ascii="Times New Roman" w:hAnsi="Times New Roman" w:eastAsia="宋体" w:cs="Times New Roman"/>
          <w:color w:val="333333"/>
          <w:szCs w:val="24"/>
        </w:rPr>
        <w:t>须</w:t>
      </w:r>
      <w:r>
        <w:rPr>
          <w:rFonts w:ascii="Times New Roman" w:hAnsi="Times New Roman" w:eastAsia="宋体" w:cs="Times New Roman"/>
          <w:color w:val="333333"/>
          <w:szCs w:val="24"/>
        </w:rPr>
        <w:t>通过自学的方式，参加</w:t>
      </w:r>
      <w:r>
        <w:rPr>
          <w:rFonts w:hint="eastAsia" w:ascii="Times New Roman" w:hAnsi="Times New Roman" w:eastAsia="宋体" w:cs="Times New Roman"/>
          <w:color w:val="333333"/>
          <w:szCs w:val="24"/>
        </w:rPr>
        <w:t>研究生系统的测</w:t>
      </w:r>
      <w:r>
        <w:rPr>
          <w:rFonts w:ascii="Times New Roman" w:hAnsi="Times New Roman" w:eastAsia="宋体" w:cs="Times New Roman"/>
          <w:color w:val="333333"/>
          <w:szCs w:val="24"/>
        </w:rPr>
        <w:t>试，考试通过方可进行论文开题。</w:t>
      </w:r>
    </w:p>
    <w:p>
      <w:pPr>
        <w:snapToGrid w:val="0"/>
        <w:spacing w:before="156" w:beforeLines="50" w:after="156" w:afterLines="50" w:line="320" w:lineRule="exact"/>
        <w:ind w:firstLine="420" w:firstLineChars="200"/>
        <w:rPr>
          <w:rFonts w:asciiTheme="minorEastAsia" w:hAnsiTheme="minorEastAsia"/>
          <w:color w:val="000000"/>
          <w:szCs w:val="21"/>
        </w:rPr>
      </w:pPr>
      <w:r>
        <w:rPr>
          <w:rFonts w:asciiTheme="minorEastAsia" w:hAnsiTheme="minorEastAsia"/>
          <w:color w:val="000000"/>
          <w:szCs w:val="21"/>
        </w:rPr>
        <w:t>（二）课程</w:t>
      </w:r>
    </w:p>
    <w:p>
      <w:pPr>
        <w:snapToGrid w:val="0"/>
        <w:spacing w:line="320" w:lineRule="exact"/>
        <w:ind w:firstLine="420" w:firstLineChars="200"/>
        <w:rPr>
          <w:rFonts w:asciiTheme="minorEastAsia" w:hAnsiTheme="minorEastAsia"/>
          <w:color w:val="000000"/>
          <w:szCs w:val="21"/>
        </w:rPr>
      </w:pPr>
      <w:r>
        <w:rPr>
          <w:rFonts w:asciiTheme="minorEastAsia" w:hAnsiTheme="minorEastAsia"/>
          <w:color w:val="000000"/>
          <w:szCs w:val="21"/>
        </w:rPr>
        <w:t>1.课程</w:t>
      </w:r>
      <w:r>
        <w:rPr>
          <w:rFonts w:hint="eastAsia" w:asciiTheme="minorEastAsia" w:hAnsiTheme="minorEastAsia"/>
          <w:color w:val="000000"/>
          <w:szCs w:val="21"/>
        </w:rPr>
        <w:t>设置</w:t>
      </w:r>
      <w:r>
        <w:rPr>
          <w:rFonts w:asciiTheme="minorEastAsia" w:hAnsiTheme="minorEastAsia"/>
          <w:color w:val="000000"/>
          <w:szCs w:val="21"/>
        </w:rPr>
        <w:t>及各</w:t>
      </w:r>
      <w:r>
        <w:rPr>
          <w:rFonts w:hint="eastAsia" w:asciiTheme="minorEastAsia" w:hAnsiTheme="minorEastAsia"/>
          <w:color w:val="000000"/>
          <w:szCs w:val="21"/>
        </w:rPr>
        <w:t>课程类别</w:t>
      </w:r>
      <w:r>
        <w:rPr>
          <w:rFonts w:asciiTheme="minorEastAsia" w:hAnsiTheme="minorEastAsia"/>
          <w:color w:val="000000"/>
          <w:szCs w:val="21"/>
        </w:rPr>
        <w:t>学分。</w:t>
      </w:r>
    </w:p>
    <w:p>
      <w:pPr>
        <w:snapToGrid w:val="0"/>
        <w:ind w:firstLine="420" w:firstLineChars="200"/>
        <w:rPr>
          <w:rFonts w:ascii="Times New Roman" w:hAnsi="Times New Roman" w:eastAsia="宋体" w:cs="Times New Roman"/>
          <w:color w:val="000000"/>
          <w:szCs w:val="24"/>
        </w:rPr>
      </w:pPr>
      <w:r>
        <w:rPr>
          <w:rFonts w:ascii="Times New Roman" w:hAnsi="Times New Roman" w:eastAsia="宋体" w:cs="Times New Roman"/>
          <w:color w:val="333333"/>
          <w:szCs w:val="24"/>
        </w:rPr>
        <w:t>研究生在培养环节审核前应完成32学分，其中公共课5学分，学位基础课7学分，专业必修课4学分，专业选修课8学分，专业实践8学分。</w:t>
      </w:r>
    </w:p>
    <w:p>
      <w:pPr>
        <w:snapToGrid w:val="0"/>
        <w:spacing w:line="320" w:lineRule="exact"/>
        <w:ind w:firstLine="420" w:firstLineChars="200"/>
        <w:rPr>
          <w:rFonts w:asciiTheme="minorEastAsia" w:hAnsiTheme="minorEastAsia"/>
          <w:color w:val="000000"/>
          <w:szCs w:val="21"/>
        </w:rPr>
      </w:pPr>
      <w:r>
        <w:rPr>
          <w:rFonts w:asciiTheme="minorEastAsia" w:hAnsiTheme="minorEastAsia"/>
          <w:color w:val="000000"/>
          <w:szCs w:val="21"/>
        </w:rPr>
        <w:t>2.课程设置见下表。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15"/>
        <w:gridCol w:w="1155"/>
        <w:gridCol w:w="3105"/>
        <w:gridCol w:w="525"/>
        <w:gridCol w:w="532"/>
        <w:gridCol w:w="851"/>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915" w:type="dxa"/>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333333"/>
                <w:sz w:val="18"/>
                <w:szCs w:val="18"/>
              </w:rPr>
              <w:t>课程</w:t>
            </w:r>
          </w:p>
          <w:p>
            <w:pPr>
              <w:snapToGrid w:val="0"/>
              <w:spacing w:line="240" w:lineRule="exact"/>
              <w:jc w:val="center"/>
              <w:rPr>
                <w:rFonts w:ascii="微软雅黑" w:hAnsi="微软雅黑" w:eastAsia="微软雅黑"/>
                <w:color w:val="333333"/>
                <w:szCs w:val="21"/>
              </w:rPr>
            </w:pPr>
            <w:r>
              <w:rPr>
                <w:rFonts w:ascii="宋体" w:hAnsi="宋体" w:eastAsia="宋体"/>
                <w:b/>
                <w:bCs/>
                <w:color w:val="333333"/>
                <w:sz w:val="18"/>
                <w:szCs w:val="18"/>
              </w:rPr>
              <w:t>类别</w:t>
            </w:r>
          </w:p>
        </w:tc>
        <w:tc>
          <w:tcPr>
            <w:tcW w:w="1155" w:type="dxa"/>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333333"/>
                <w:sz w:val="18"/>
                <w:szCs w:val="18"/>
              </w:rPr>
              <w:t>课程代码</w:t>
            </w:r>
          </w:p>
        </w:tc>
        <w:tc>
          <w:tcPr>
            <w:tcW w:w="3105" w:type="dxa"/>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333333"/>
                <w:sz w:val="18"/>
                <w:szCs w:val="18"/>
              </w:rPr>
              <w:t>课程名称</w:t>
            </w:r>
          </w:p>
        </w:tc>
        <w:tc>
          <w:tcPr>
            <w:tcW w:w="525" w:type="dxa"/>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000000"/>
                <w:sz w:val="18"/>
                <w:szCs w:val="18"/>
              </w:rPr>
              <w:t>学分</w:t>
            </w:r>
          </w:p>
        </w:tc>
        <w:tc>
          <w:tcPr>
            <w:tcW w:w="532" w:type="dxa"/>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000000"/>
                <w:sz w:val="18"/>
                <w:szCs w:val="18"/>
              </w:rPr>
              <w:t>开设学期</w:t>
            </w:r>
          </w:p>
        </w:tc>
        <w:tc>
          <w:tcPr>
            <w:tcW w:w="851" w:type="dxa"/>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000000"/>
                <w:sz w:val="18"/>
                <w:szCs w:val="18"/>
              </w:rPr>
              <w:t>负责人</w:t>
            </w:r>
          </w:p>
        </w:tc>
        <w:tc>
          <w:tcPr>
            <w:tcW w:w="1917" w:type="dxa"/>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333333"/>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30" w:hRule="atLeast"/>
        </w:trPr>
        <w:tc>
          <w:tcPr>
            <w:tcW w:w="915" w:type="dxa"/>
            <w:vMerge w:val="restart"/>
            <w:shd w:val="clear" w:color="auto" w:fill="auto"/>
            <w:vAlign w:val="center"/>
          </w:tcPr>
          <w:p>
            <w:pPr>
              <w:snapToGrid w:val="0"/>
              <w:spacing w:line="240" w:lineRule="exact"/>
              <w:jc w:val="center"/>
              <w:rPr>
                <w:rFonts w:ascii="微软雅黑" w:hAnsi="微软雅黑" w:eastAsia="微软雅黑"/>
                <w:color w:val="333333"/>
                <w:szCs w:val="21"/>
              </w:rPr>
            </w:pPr>
            <w:r>
              <w:rPr>
                <w:rFonts w:ascii="宋体" w:hAnsi="宋体" w:eastAsia="宋体"/>
                <w:b/>
                <w:bCs/>
                <w:color w:val="333333"/>
                <w:sz w:val="18"/>
                <w:szCs w:val="18"/>
              </w:rPr>
              <w:t>公共课</w:t>
            </w:r>
          </w:p>
          <w:p>
            <w:pPr>
              <w:snapToGrid w:val="0"/>
              <w:spacing w:line="240" w:lineRule="exact"/>
              <w:jc w:val="center"/>
              <w:rPr>
                <w:rFonts w:ascii="微软雅黑" w:hAnsi="微软雅黑" w:eastAsia="微软雅黑"/>
                <w:color w:val="333333"/>
                <w:szCs w:val="21"/>
              </w:rPr>
            </w:pPr>
            <w:r>
              <w:rPr>
                <w:rFonts w:ascii="宋体" w:hAnsi="宋体" w:eastAsia="宋体"/>
                <w:b/>
                <w:bCs/>
                <w:color w:val="333333"/>
                <w:sz w:val="18"/>
                <w:szCs w:val="18"/>
              </w:rPr>
              <w:t>（</w:t>
            </w:r>
            <w:r>
              <w:rPr>
                <w:rFonts w:ascii="Times New Roman" w:hAnsi="Times New Roman" w:eastAsia="Times New Roman"/>
                <w:b/>
                <w:bCs/>
                <w:color w:val="333333"/>
                <w:sz w:val="18"/>
                <w:szCs w:val="18"/>
              </w:rPr>
              <w:t>5</w:t>
            </w:r>
            <w:r>
              <w:rPr>
                <w:rFonts w:ascii="宋体" w:hAnsi="宋体" w:eastAsia="宋体"/>
                <w:b/>
                <w:bCs/>
                <w:color w:val="333333"/>
                <w:sz w:val="18"/>
                <w:szCs w:val="18"/>
              </w:rPr>
              <w:t>学分）</w:t>
            </w:r>
          </w:p>
        </w:tc>
        <w:tc>
          <w:tcPr>
            <w:tcW w:w="1155" w:type="dxa"/>
            <w:shd w:val="clear" w:color="auto" w:fill="auto"/>
            <w:vAlign w:val="center"/>
          </w:tcPr>
          <w:p>
            <w:pPr>
              <w:snapToGrid w:val="0"/>
              <w:spacing w:line="240" w:lineRule="exact"/>
              <w:jc w:val="left"/>
              <w:rPr>
                <w:rFonts w:ascii="微软雅黑" w:hAnsi="微软雅黑" w:eastAsia="微软雅黑"/>
                <w:color w:val="333333"/>
                <w:szCs w:val="21"/>
              </w:rPr>
            </w:pPr>
            <w:r>
              <w:rPr>
                <w:rFonts w:ascii="Times New Roman" w:hAnsi="Times New Roman" w:eastAsia="Times New Roman"/>
                <w:color w:val="333333"/>
                <w:sz w:val="18"/>
                <w:szCs w:val="18"/>
              </w:rPr>
              <w:t>TYKC0610201002</w:t>
            </w:r>
          </w:p>
        </w:tc>
        <w:tc>
          <w:tcPr>
            <w:tcW w:w="3105" w:type="dxa"/>
            <w:shd w:val="clear" w:color="auto" w:fill="auto"/>
            <w:vAlign w:val="center"/>
          </w:tcPr>
          <w:p>
            <w:pPr>
              <w:snapToGrid w:val="0"/>
              <w:spacing w:line="240" w:lineRule="exact"/>
              <w:jc w:val="left"/>
              <w:rPr>
                <w:rFonts w:ascii="微软雅黑" w:hAnsi="微软雅黑" w:eastAsia="微软雅黑"/>
                <w:color w:val="333333"/>
                <w:szCs w:val="21"/>
              </w:rPr>
            </w:pPr>
            <w:r>
              <w:rPr>
                <w:rFonts w:hint="eastAsia" w:ascii="宋体" w:hAnsi="宋体" w:eastAsia="宋体"/>
                <w:color w:val="333333"/>
                <w:sz w:val="18"/>
                <w:szCs w:val="18"/>
              </w:rPr>
              <w:t>新时代</w:t>
            </w:r>
            <w:r>
              <w:rPr>
                <w:rFonts w:ascii="宋体" w:hAnsi="宋体" w:eastAsia="宋体"/>
                <w:color w:val="333333"/>
                <w:sz w:val="18"/>
                <w:szCs w:val="18"/>
              </w:rPr>
              <w:t>中国特色社会主义理论与实践研究</w:t>
            </w:r>
            <w:r>
              <w:rPr>
                <w:rFonts w:ascii="Times New Roman" w:hAnsi="Times New Roman" w:eastAsia="Times New Roman"/>
                <w:color w:val="333333"/>
                <w:sz w:val="18"/>
                <w:szCs w:val="18"/>
              </w:rPr>
              <w:t>(Theory   and Practice of Socialism with Chinese Characteristics)</w:t>
            </w:r>
          </w:p>
        </w:tc>
        <w:tc>
          <w:tcPr>
            <w:tcW w:w="525" w:type="dxa"/>
            <w:shd w:val="clear" w:color="auto" w:fill="auto"/>
            <w:vAlign w:val="center"/>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Times New Roman" w:cs="Times New Roman"/>
                <w:color w:val="000000"/>
                <w:sz w:val="18"/>
                <w:szCs w:val="18"/>
              </w:rPr>
              <w:t>2</w:t>
            </w:r>
          </w:p>
        </w:tc>
        <w:tc>
          <w:tcPr>
            <w:tcW w:w="532" w:type="dxa"/>
            <w:shd w:val="clear" w:color="auto" w:fill="auto"/>
            <w:vAlign w:val="center"/>
          </w:tcPr>
          <w:p>
            <w:pPr>
              <w:snapToGrid w:val="0"/>
              <w:spacing w:line="240" w:lineRule="exact"/>
              <w:jc w:val="center"/>
              <w:rPr>
                <w:rFonts w:ascii="微软雅黑" w:hAnsi="微软雅黑" w:eastAsia="微软雅黑"/>
                <w:color w:val="333333"/>
                <w:sz w:val="18"/>
                <w:szCs w:val="18"/>
              </w:rPr>
            </w:pPr>
            <w:r>
              <w:rPr>
                <w:rFonts w:ascii="宋体" w:hAnsi="宋体" w:eastAsia="宋体"/>
                <w:color w:val="000000"/>
                <w:sz w:val="18"/>
                <w:szCs w:val="18"/>
              </w:rPr>
              <w:t>一秋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70" w:hRule="atLeast"/>
        </w:trPr>
        <w:tc>
          <w:tcPr>
            <w:tcW w:w="915" w:type="dxa"/>
            <w:vMerge w:val="continue"/>
            <w:shd w:val="clear" w:color="auto" w:fill="auto"/>
            <w:vAlign w:val="center"/>
          </w:tcPr>
          <w:p>
            <w:pPr>
              <w:snapToGrid w:val="0"/>
              <w:jc w:val="left"/>
              <w:rPr>
                <w:rFonts w:ascii="微软雅黑" w:hAnsi="微软雅黑" w:eastAsia="微软雅黑"/>
                <w:color w:val="333333"/>
                <w:szCs w:val="21"/>
              </w:rPr>
            </w:pPr>
          </w:p>
        </w:tc>
        <w:tc>
          <w:tcPr>
            <w:tcW w:w="1155" w:type="dxa"/>
            <w:shd w:val="clear" w:color="auto" w:fill="auto"/>
            <w:vAlign w:val="center"/>
          </w:tcPr>
          <w:p>
            <w:pPr>
              <w:snapToGrid w:val="0"/>
              <w:spacing w:line="240" w:lineRule="exact"/>
              <w:jc w:val="left"/>
              <w:rPr>
                <w:rFonts w:ascii="微软雅黑" w:hAnsi="微软雅黑" w:eastAsia="微软雅黑"/>
                <w:color w:val="333333"/>
                <w:szCs w:val="21"/>
              </w:rPr>
            </w:pPr>
            <w:r>
              <w:rPr>
                <w:rFonts w:ascii="Times New Roman" w:hAnsi="Times New Roman" w:eastAsia="Times New Roman"/>
                <w:color w:val="333333"/>
                <w:sz w:val="18"/>
                <w:szCs w:val="18"/>
              </w:rPr>
              <w:t>TYKC0610201001</w:t>
            </w:r>
          </w:p>
        </w:tc>
        <w:tc>
          <w:tcPr>
            <w:tcW w:w="3105" w:type="dxa"/>
            <w:shd w:val="clear" w:color="auto" w:fill="auto"/>
            <w:vAlign w:val="center"/>
          </w:tcPr>
          <w:p>
            <w:pPr>
              <w:snapToGrid w:val="0"/>
              <w:spacing w:line="240" w:lineRule="exact"/>
              <w:jc w:val="left"/>
              <w:rPr>
                <w:rFonts w:ascii="微软雅黑" w:hAnsi="微软雅黑" w:eastAsia="微软雅黑"/>
                <w:color w:val="333333"/>
                <w:szCs w:val="21"/>
              </w:rPr>
            </w:pPr>
            <w:r>
              <w:rPr>
                <w:rFonts w:ascii="宋体" w:hAnsi="宋体" w:eastAsia="宋体"/>
                <w:color w:val="333333"/>
                <w:sz w:val="18"/>
                <w:szCs w:val="18"/>
              </w:rPr>
              <w:t>自然辩证法</w:t>
            </w:r>
            <w:r>
              <w:rPr>
                <w:rFonts w:ascii="Times New Roman" w:hAnsi="Times New Roman" w:eastAsia="Times New Roman"/>
                <w:color w:val="333333"/>
                <w:sz w:val="18"/>
                <w:szCs w:val="18"/>
              </w:rPr>
              <w:t>(Dialectics   of Nature)</w:t>
            </w:r>
          </w:p>
        </w:tc>
        <w:tc>
          <w:tcPr>
            <w:tcW w:w="525" w:type="dxa"/>
            <w:shd w:val="clear" w:color="auto" w:fill="auto"/>
            <w:vAlign w:val="center"/>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Times New Roman" w:cs="Times New Roman"/>
                <w:color w:val="000000"/>
                <w:sz w:val="18"/>
                <w:szCs w:val="18"/>
              </w:rPr>
              <w:t>1</w:t>
            </w:r>
          </w:p>
        </w:tc>
        <w:tc>
          <w:tcPr>
            <w:tcW w:w="532" w:type="dxa"/>
            <w:shd w:val="clear" w:color="auto" w:fill="auto"/>
            <w:vAlign w:val="center"/>
          </w:tcPr>
          <w:p>
            <w:pPr>
              <w:snapToGrid w:val="0"/>
              <w:spacing w:line="240" w:lineRule="exact"/>
              <w:jc w:val="center"/>
              <w:rPr>
                <w:rFonts w:ascii="微软雅黑" w:hAnsi="微软雅黑" w:eastAsia="微软雅黑"/>
                <w:color w:val="333333"/>
                <w:sz w:val="18"/>
                <w:szCs w:val="18"/>
              </w:rPr>
            </w:pP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vAlign w:val="center"/>
          </w:tcPr>
          <w:p>
            <w:pPr>
              <w:snapToGrid w:val="0"/>
              <w:spacing w:line="240" w:lineRule="exac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trPr>
        <w:tc>
          <w:tcPr>
            <w:tcW w:w="915" w:type="dxa"/>
            <w:vMerge w:val="continue"/>
            <w:shd w:val="clear" w:color="auto" w:fill="auto"/>
            <w:vAlign w:val="center"/>
          </w:tcPr>
          <w:p>
            <w:pPr>
              <w:snapToGrid w:val="0"/>
              <w:jc w:val="left"/>
              <w:rPr>
                <w:rFonts w:ascii="微软雅黑" w:hAnsi="微软雅黑" w:eastAsia="微软雅黑"/>
                <w:color w:val="333333"/>
                <w:szCs w:val="21"/>
              </w:rPr>
            </w:pPr>
          </w:p>
        </w:tc>
        <w:tc>
          <w:tcPr>
            <w:tcW w:w="1155" w:type="dxa"/>
            <w:shd w:val="clear" w:color="auto" w:fill="auto"/>
            <w:vAlign w:val="center"/>
          </w:tcPr>
          <w:p>
            <w:pPr>
              <w:snapToGrid w:val="0"/>
              <w:spacing w:line="240" w:lineRule="exact"/>
              <w:jc w:val="left"/>
              <w:rPr>
                <w:rFonts w:ascii="微软雅黑" w:hAnsi="微软雅黑" w:eastAsia="微软雅黑"/>
                <w:color w:val="333333"/>
                <w:szCs w:val="21"/>
              </w:rPr>
            </w:pPr>
            <w:r>
              <w:rPr>
                <w:rFonts w:ascii="Times New Roman" w:hAnsi="Times New Roman" w:eastAsia="Times New Roman"/>
                <w:color w:val="333333"/>
                <w:sz w:val="18"/>
                <w:szCs w:val="18"/>
              </w:rPr>
              <w:t>TYKC0910201001</w:t>
            </w:r>
          </w:p>
        </w:tc>
        <w:tc>
          <w:tcPr>
            <w:tcW w:w="3105" w:type="dxa"/>
            <w:shd w:val="clear" w:color="auto" w:fill="auto"/>
            <w:vAlign w:val="center"/>
          </w:tcPr>
          <w:p>
            <w:pPr>
              <w:snapToGrid w:val="0"/>
              <w:spacing w:line="240" w:lineRule="exact"/>
              <w:jc w:val="left"/>
              <w:rPr>
                <w:rFonts w:ascii="微软雅黑" w:hAnsi="微软雅黑" w:eastAsia="微软雅黑"/>
                <w:color w:val="333333"/>
                <w:szCs w:val="21"/>
              </w:rPr>
            </w:pPr>
            <w:r>
              <w:rPr>
                <w:rFonts w:ascii="宋体" w:hAnsi="宋体" w:eastAsia="宋体"/>
                <w:color w:val="333333"/>
                <w:sz w:val="18"/>
                <w:szCs w:val="18"/>
              </w:rPr>
              <w:t>英语</w:t>
            </w:r>
            <w:r>
              <w:rPr>
                <w:rFonts w:ascii="Times New Roman" w:hAnsi="Times New Roman" w:eastAsia="Times New Roman"/>
                <w:color w:val="333333"/>
                <w:sz w:val="18"/>
                <w:szCs w:val="18"/>
              </w:rPr>
              <w:t>(English)</w:t>
            </w:r>
          </w:p>
        </w:tc>
        <w:tc>
          <w:tcPr>
            <w:tcW w:w="525" w:type="dxa"/>
            <w:shd w:val="clear" w:color="auto" w:fill="auto"/>
            <w:vAlign w:val="center"/>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Times New Roman" w:cs="Times New Roman"/>
                <w:color w:val="000000"/>
                <w:sz w:val="18"/>
                <w:szCs w:val="18"/>
              </w:rPr>
              <w:t>2</w:t>
            </w:r>
          </w:p>
        </w:tc>
        <w:tc>
          <w:tcPr>
            <w:tcW w:w="532" w:type="dxa"/>
            <w:shd w:val="clear" w:color="auto" w:fill="auto"/>
            <w:vAlign w:val="center"/>
          </w:tcPr>
          <w:p>
            <w:pPr>
              <w:snapToGrid w:val="0"/>
              <w:spacing w:line="240" w:lineRule="exact"/>
              <w:jc w:val="center"/>
              <w:rPr>
                <w:rFonts w:ascii="微软雅黑" w:hAnsi="微软雅黑" w:eastAsia="微软雅黑"/>
                <w:color w:val="333333"/>
                <w:sz w:val="18"/>
                <w:szCs w:val="18"/>
              </w:rPr>
            </w:pP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915" w:type="dxa"/>
            <w:vMerge w:val="continue"/>
            <w:shd w:val="clear" w:color="auto" w:fill="auto"/>
            <w:vAlign w:val="center"/>
          </w:tcPr>
          <w:p>
            <w:pPr>
              <w:snapToGrid w:val="0"/>
              <w:jc w:val="left"/>
              <w:rPr>
                <w:rFonts w:ascii="微软雅黑" w:hAnsi="微软雅黑" w:eastAsia="微软雅黑"/>
                <w:color w:val="333333"/>
                <w:szCs w:val="21"/>
              </w:rPr>
            </w:pPr>
          </w:p>
        </w:tc>
        <w:tc>
          <w:tcPr>
            <w:tcW w:w="1155" w:type="dxa"/>
            <w:shd w:val="clear" w:color="auto" w:fill="auto"/>
            <w:vAlign w:val="center"/>
          </w:tcPr>
          <w:p>
            <w:pPr>
              <w:snapToGrid w:val="0"/>
              <w:spacing w:line="240" w:lineRule="exact"/>
              <w:jc w:val="left"/>
              <w:rPr>
                <w:rFonts w:ascii="微软雅黑" w:hAnsi="微软雅黑" w:eastAsia="微软雅黑"/>
                <w:color w:val="333333"/>
                <w:szCs w:val="21"/>
              </w:rPr>
            </w:pPr>
          </w:p>
        </w:tc>
        <w:tc>
          <w:tcPr>
            <w:tcW w:w="3105" w:type="dxa"/>
            <w:shd w:val="clear" w:color="auto" w:fill="auto"/>
            <w:vAlign w:val="center"/>
          </w:tcPr>
          <w:p>
            <w:pPr>
              <w:snapToGrid w:val="0"/>
              <w:spacing w:line="240" w:lineRule="exact"/>
              <w:jc w:val="left"/>
              <w:rPr>
                <w:rFonts w:ascii="微软雅黑" w:hAnsi="微软雅黑" w:eastAsia="微软雅黑"/>
                <w:color w:val="333333"/>
                <w:szCs w:val="21"/>
              </w:rPr>
            </w:pPr>
            <w:r>
              <w:rPr>
                <w:rFonts w:ascii="宋体" w:hAnsi="宋体" w:eastAsia="宋体"/>
                <w:color w:val="333333"/>
                <w:sz w:val="18"/>
                <w:szCs w:val="18"/>
              </w:rPr>
              <w:t>通识类课程</w:t>
            </w:r>
          </w:p>
        </w:tc>
        <w:tc>
          <w:tcPr>
            <w:tcW w:w="525" w:type="dxa"/>
            <w:shd w:val="clear" w:color="auto" w:fill="auto"/>
            <w:vAlign w:val="center"/>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Times New Roman" w:cs="Times New Roman"/>
                <w:color w:val="000000"/>
                <w:sz w:val="18"/>
                <w:szCs w:val="18"/>
              </w:rPr>
              <w:t>0</w:t>
            </w:r>
          </w:p>
        </w:tc>
        <w:tc>
          <w:tcPr>
            <w:tcW w:w="532" w:type="dxa"/>
            <w:shd w:val="clear" w:color="auto" w:fill="auto"/>
            <w:vAlign w:val="center"/>
          </w:tcPr>
          <w:p>
            <w:pPr>
              <w:snapToGrid w:val="0"/>
              <w:spacing w:line="240" w:lineRule="exact"/>
              <w:jc w:val="center"/>
              <w:rPr>
                <w:rFonts w:ascii="微软雅黑" w:hAnsi="微软雅黑" w:eastAsia="微软雅黑"/>
                <w:color w:val="333333"/>
                <w:sz w:val="18"/>
                <w:szCs w:val="18"/>
              </w:rPr>
            </w:pP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r>
              <w:rPr>
                <w:rFonts w:ascii="宋体" w:hAnsi="宋体" w:eastAsia="宋体"/>
                <w:color w:val="000000"/>
                <w:sz w:val="18"/>
                <w:szCs w:val="18"/>
              </w:rPr>
              <w:t>文科专业选理科类通识课；理科专业选文科类通识课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915" w:type="dxa"/>
            <w:vMerge w:val="restart"/>
            <w:shd w:val="clear" w:color="auto" w:fill="auto"/>
            <w:vAlign w:val="center"/>
          </w:tcPr>
          <w:p>
            <w:pPr>
              <w:snapToGrid w:val="0"/>
              <w:jc w:val="left"/>
              <w:rPr>
                <w:rFonts w:ascii="宋体" w:hAnsi="宋体" w:eastAsia="宋体"/>
                <w:b/>
                <w:bCs/>
                <w:color w:val="333333"/>
                <w:sz w:val="18"/>
                <w:szCs w:val="18"/>
              </w:rPr>
            </w:pPr>
            <w:r>
              <w:rPr>
                <w:rFonts w:hint="eastAsia" w:ascii="宋体" w:hAnsi="宋体" w:eastAsia="宋体"/>
                <w:b/>
                <w:bCs/>
                <w:color w:val="333333"/>
                <w:sz w:val="18"/>
                <w:szCs w:val="18"/>
              </w:rPr>
              <w:t>学位基础课</w:t>
            </w:r>
          </w:p>
          <w:p>
            <w:pPr>
              <w:snapToGrid w:val="0"/>
              <w:jc w:val="left"/>
              <w:rPr>
                <w:rFonts w:ascii="微软雅黑" w:hAnsi="微软雅黑" w:eastAsia="微软雅黑"/>
                <w:color w:val="333333"/>
                <w:szCs w:val="21"/>
              </w:rPr>
            </w:pPr>
            <w:r>
              <w:rPr>
                <w:rFonts w:hint="eastAsia" w:ascii="宋体" w:hAnsi="宋体" w:eastAsia="宋体"/>
                <w:b/>
                <w:bCs/>
                <w:color w:val="333333"/>
                <w:sz w:val="18"/>
                <w:szCs w:val="18"/>
              </w:rPr>
              <w:t>（7学分）</w:t>
            </w:r>
          </w:p>
        </w:tc>
        <w:tc>
          <w:tcPr>
            <w:tcW w:w="1155" w:type="dxa"/>
            <w:shd w:val="clear" w:color="auto" w:fill="auto"/>
            <w:vAlign w:val="center"/>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TYKC3210201001</w:t>
            </w:r>
          </w:p>
        </w:tc>
        <w:tc>
          <w:tcPr>
            <w:tcW w:w="3105" w:type="dxa"/>
            <w:shd w:val="clear" w:color="auto" w:fill="auto"/>
            <w:vAlign w:val="center"/>
          </w:tcPr>
          <w:p>
            <w:pPr>
              <w:snapToGrid w:val="0"/>
              <w:spacing w:line="240" w:lineRule="exact"/>
              <w:jc w:val="left"/>
              <w:rPr>
                <w:rFonts w:ascii="宋体" w:hAnsi="宋体" w:eastAsia="宋体"/>
                <w:color w:val="333333"/>
                <w:sz w:val="18"/>
                <w:szCs w:val="18"/>
              </w:rPr>
            </w:pPr>
            <w:r>
              <w:rPr>
                <w:rFonts w:hint="eastAsia" w:ascii="宋体" w:hAnsi="宋体" w:eastAsia="宋体"/>
                <w:color w:val="333333"/>
                <w:sz w:val="18"/>
                <w:szCs w:val="18"/>
              </w:rPr>
              <w:t>工程伦理</w:t>
            </w:r>
            <w:r>
              <w:rPr>
                <w:rFonts w:ascii="Times New Roman" w:hAnsi="Times New Roman" w:eastAsia="Times New Roman"/>
                <w:color w:val="333333"/>
                <w:sz w:val="18"/>
                <w:szCs w:val="18"/>
              </w:rPr>
              <w:t>(Engineering Ethics)</w:t>
            </w:r>
          </w:p>
        </w:tc>
        <w:tc>
          <w:tcPr>
            <w:tcW w:w="525" w:type="dxa"/>
            <w:shd w:val="clear" w:color="auto" w:fill="auto"/>
            <w:vAlign w:val="center"/>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32" w:type="dxa"/>
            <w:shd w:val="clear" w:color="auto" w:fill="auto"/>
            <w:vAlign w:val="center"/>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vMerge w:val="restart"/>
            <w:shd w:val="clear" w:color="auto" w:fill="auto"/>
          </w:tcPr>
          <w:p>
            <w:pPr>
              <w:snapToGrid w:val="0"/>
              <w:spacing w:line="240" w:lineRule="exact"/>
              <w:jc w:val="left"/>
              <w:rPr>
                <w:rFonts w:ascii="宋体" w:hAnsi="宋体"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915" w:type="dxa"/>
            <w:vMerge w:val="continue"/>
            <w:shd w:val="clear" w:color="auto" w:fill="auto"/>
            <w:vAlign w:val="center"/>
          </w:tcPr>
          <w:p>
            <w:pPr>
              <w:snapToGrid w:val="0"/>
              <w:jc w:val="left"/>
              <w:rPr>
                <w:rFonts w:ascii="宋体" w:hAnsi="宋体" w:eastAsia="宋体"/>
                <w:b/>
                <w:bCs/>
                <w:color w:val="333333"/>
                <w:sz w:val="18"/>
                <w:szCs w:val="18"/>
              </w:rPr>
            </w:pPr>
          </w:p>
        </w:tc>
        <w:tc>
          <w:tcPr>
            <w:tcW w:w="1155" w:type="dxa"/>
            <w:shd w:val="clear" w:color="auto" w:fill="auto"/>
            <w:vAlign w:val="center"/>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ENSE3211102035</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环境科学与工程研究进展(Research Progress in Environmental Science and Engineering)</w:t>
            </w:r>
          </w:p>
        </w:tc>
        <w:tc>
          <w:tcPr>
            <w:tcW w:w="525" w:type="dxa"/>
            <w:shd w:val="clear" w:color="auto" w:fill="auto"/>
            <w:vAlign w:val="center"/>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32" w:type="dxa"/>
            <w:shd w:val="clear" w:color="auto" w:fill="auto"/>
            <w:vAlign w:val="center"/>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vMerge w:val="continue"/>
            <w:shd w:val="clear" w:color="auto" w:fill="auto"/>
          </w:tcPr>
          <w:p>
            <w:pPr>
              <w:snapToGrid w:val="0"/>
              <w:spacing w:line="240" w:lineRule="exact"/>
              <w:jc w:val="left"/>
              <w:rPr>
                <w:rFonts w:ascii="宋体" w:hAnsi="宋体"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915" w:type="dxa"/>
            <w:vMerge w:val="continue"/>
            <w:shd w:val="clear" w:color="auto" w:fill="auto"/>
            <w:vAlign w:val="center"/>
          </w:tcPr>
          <w:p>
            <w:pPr>
              <w:snapToGrid w:val="0"/>
              <w:jc w:val="left"/>
              <w:rPr>
                <w:rFonts w:ascii="宋体" w:hAnsi="宋体" w:eastAsia="宋体"/>
                <w:b/>
                <w:bCs/>
                <w:color w:val="333333"/>
                <w:sz w:val="18"/>
                <w:szCs w:val="18"/>
              </w:rPr>
            </w:pPr>
          </w:p>
        </w:tc>
        <w:tc>
          <w:tcPr>
            <w:tcW w:w="1155" w:type="dxa"/>
            <w:shd w:val="clear" w:color="auto" w:fill="auto"/>
            <w:vAlign w:val="center"/>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ENSE3211102036</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环境科学与工程专业外语(English Course in Environmental Science and Engineering)</w:t>
            </w:r>
          </w:p>
        </w:tc>
        <w:tc>
          <w:tcPr>
            <w:tcW w:w="525" w:type="dxa"/>
            <w:shd w:val="clear" w:color="auto" w:fill="auto"/>
            <w:vAlign w:val="center"/>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32" w:type="dxa"/>
            <w:shd w:val="clear" w:color="auto" w:fill="auto"/>
            <w:vAlign w:val="center"/>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vMerge w:val="continue"/>
            <w:shd w:val="clear" w:color="auto" w:fill="auto"/>
          </w:tcPr>
          <w:p>
            <w:pPr>
              <w:snapToGrid w:val="0"/>
              <w:spacing w:line="240" w:lineRule="exact"/>
              <w:jc w:val="left"/>
              <w:rPr>
                <w:rFonts w:ascii="宋体" w:hAnsi="宋体"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915" w:type="dxa"/>
            <w:vMerge w:val="continue"/>
            <w:shd w:val="clear" w:color="auto" w:fill="auto"/>
            <w:vAlign w:val="center"/>
          </w:tcPr>
          <w:p>
            <w:pPr>
              <w:snapToGrid w:val="0"/>
              <w:jc w:val="left"/>
              <w:rPr>
                <w:rFonts w:ascii="宋体" w:hAnsi="宋体" w:eastAsia="宋体"/>
                <w:b/>
                <w:bCs/>
                <w:color w:val="333333"/>
                <w:sz w:val="18"/>
                <w:szCs w:val="18"/>
              </w:rPr>
            </w:pPr>
          </w:p>
        </w:tc>
        <w:tc>
          <w:tcPr>
            <w:tcW w:w="1155" w:type="dxa"/>
            <w:shd w:val="clear" w:color="auto" w:fill="auto"/>
            <w:vAlign w:val="center"/>
          </w:tcPr>
          <w:p>
            <w:pPr>
              <w:snapToGrid w:val="0"/>
              <w:spacing w:line="240" w:lineRule="exact"/>
              <w:jc w:val="left"/>
              <w:rPr>
                <w:rFonts w:ascii="Times New Roman" w:hAnsi="Times New Roman" w:cs="Times New Roman"/>
                <w:sz w:val="18"/>
                <w:szCs w:val="18"/>
              </w:rPr>
            </w:pPr>
            <w:r>
              <w:rPr>
                <w:rFonts w:ascii="Times New Roman" w:hAnsi="Times New Roman" w:cs="Times New Roman"/>
                <w:sz w:val="18"/>
                <w:szCs w:val="18"/>
              </w:rPr>
              <w:t>MRE03211202001</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数据</w:t>
            </w:r>
            <w:r>
              <w:rPr>
                <w:rFonts w:ascii="Times New Roman" w:hAnsi="Times New Roman" w:eastAsia="宋体" w:cs="Times New Roman"/>
                <w:color w:val="333333"/>
                <w:sz w:val="18"/>
                <w:szCs w:val="18"/>
              </w:rPr>
              <w:t>统计分析与应用</w:t>
            </w:r>
            <w:r>
              <w:rPr>
                <w:rFonts w:hint="eastAsia" w:ascii="Times New Roman" w:hAnsi="Times New Roman" w:eastAsia="宋体" w:cs="Times New Roman"/>
                <w:color w:val="333333"/>
                <w:sz w:val="18"/>
                <w:szCs w:val="18"/>
              </w:rPr>
              <w:t>(</w:t>
            </w:r>
            <w:r>
              <w:rPr>
                <w:rFonts w:ascii="Times New Roman" w:hAnsi="Times New Roman" w:eastAsia="宋体" w:cs="Times New Roman"/>
                <w:color w:val="333333"/>
                <w:sz w:val="18"/>
                <w:szCs w:val="18"/>
              </w:rPr>
              <w:t>Application for Research Data Processing and Analyses</w:t>
            </w:r>
            <w:r>
              <w:rPr>
                <w:rFonts w:hint="eastAsia" w:ascii="Times New Roman" w:hAnsi="Times New Roman" w:eastAsia="宋体" w:cs="Times New Roman"/>
                <w:color w:val="333333"/>
                <w:sz w:val="18"/>
                <w:szCs w:val="18"/>
              </w:rPr>
              <w:t>)</w:t>
            </w:r>
          </w:p>
        </w:tc>
        <w:tc>
          <w:tcPr>
            <w:tcW w:w="525" w:type="dxa"/>
            <w:shd w:val="clear" w:color="auto" w:fill="auto"/>
            <w:vAlign w:val="center"/>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32" w:type="dxa"/>
            <w:shd w:val="clear" w:color="auto" w:fill="auto"/>
            <w:vAlign w:val="center"/>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vMerge w:val="continue"/>
            <w:shd w:val="clear" w:color="auto" w:fill="auto"/>
          </w:tcPr>
          <w:p>
            <w:pPr>
              <w:snapToGrid w:val="0"/>
              <w:spacing w:line="240" w:lineRule="exact"/>
              <w:jc w:val="left"/>
              <w:rPr>
                <w:rFonts w:ascii="宋体" w:hAnsi="宋体"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915" w:type="dxa"/>
            <w:vMerge w:val="continue"/>
            <w:shd w:val="clear" w:color="auto" w:fill="auto"/>
            <w:vAlign w:val="center"/>
          </w:tcPr>
          <w:p>
            <w:pPr>
              <w:snapToGrid w:val="0"/>
              <w:jc w:val="left"/>
              <w:rPr>
                <w:rFonts w:ascii="宋体" w:hAnsi="宋体" w:eastAsia="宋体"/>
                <w:b/>
                <w:bCs/>
                <w:color w:val="333333"/>
                <w:sz w:val="18"/>
                <w:szCs w:val="18"/>
              </w:rPr>
            </w:pPr>
          </w:p>
        </w:tc>
        <w:tc>
          <w:tcPr>
            <w:tcW w:w="1155" w:type="dxa"/>
            <w:shd w:val="clear" w:color="auto" w:fill="auto"/>
            <w:vAlign w:val="center"/>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ENSE3211102037</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实验室安全教育(Laboratory Safety Education)</w:t>
            </w:r>
          </w:p>
        </w:tc>
        <w:tc>
          <w:tcPr>
            <w:tcW w:w="525" w:type="dxa"/>
            <w:shd w:val="clear" w:color="auto" w:fill="auto"/>
            <w:vAlign w:val="center"/>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532" w:type="dxa"/>
            <w:shd w:val="clear" w:color="auto" w:fill="auto"/>
            <w:vAlign w:val="center"/>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vMerge w:val="continue"/>
            <w:shd w:val="clear" w:color="auto" w:fill="auto"/>
          </w:tcPr>
          <w:p>
            <w:pPr>
              <w:snapToGrid w:val="0"/>
              <w:spacing w:line="240" w:lineRule="exact"/>
              <w:jc w:val="left"/>
              <w:rPr>
                <w:rFonts w:ascii="宋体" w:hAnsi="宋体"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5" w:hRule="atLeast"/>
        </w:trPr>
        <w:tc>
          <w:tcPr>
            <w:tcW w:w="915" w:type="dxa"/>
            <w:vMerge w:val="continue"/>
            <w:shd w:val="clear" w:color="auto" w:fill="auto"/>
            <w:vAlign w:val="center"/>
          </w:tcPr>
          <w:p>
            <w:pPr>
              <w:snapToGrid w:val="0"/>
              <w:jc w:val="left"/>
              <w:rPr>
                <w:rFonts w:ascii="宋体" w:hAnsi="宋体" w:eastAsia="宋体"/>
                <w:b/>
                <w:bCs/>
                <w:color w:val="333333"/>
                <w:sz w:val="18"/>
                <w:szCs w:val="18"/>
              </w:rPr>
            </w:pPr>
          </w:p>
        </w:tc>
        <w:tc>
          <w:tcPr>
            <w:tcW w:w="1155" w:type="dxa"/>
            <w:shd w:val="clear" w:color="auto" w:fill="auto"/>
            <w:vAlign w:val="center"/>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ENSE3211102058</w:t>
            </w:r>
          </w:p>
        </w:tc>
        <w:tc>
          <w:tcPr>
            <w:tcW w:w="3105" w:type="dxa"/>
            <w:shd w:val="clear" w:color="auto" w:fill="auto"/>
            <w:vAlign w:val="center"/>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研究生科研素养必备</w:t>
            </w:r>
            <w:r>
              <w:rPr>
                <w:rFonts w:hint="eastAsia" w:ascii="Times New Roman" w:hAnsi="Times New Roman" w:eastAsia="宋体" w:cs="Times New Roman"/>
                <w:color w:val="333333"/>
                <w:sz w:val="18"/>
                <w:szCs w:val="18"/>
              </w:rPr>
              <w:t>(</w:t>
            </w:r>
            <w:r>
              <w:rPr>
                <w:rFonts w:ascii="Times New Roman" w:hAnsi="Times New Roman" w:eastAsia="宋体" w:cs="Times New Roman"/>
                <w:color w:val="333333"/>
                <w:sz w:val="18"/>
                <w:szCs w:val="18"/>
              </w:rPr>
              <w:t>How to Do Research</w:t>
            </w:r>
            <w:r>
              <w:rPr>
                <w:rFonts w:hint="eastAsia" w:ascii="Times New Roman" w:hAnsi="Times New Roman" w:eastAsia="宋体" w:cs="Times New Roman"/>
                <w:color w:val="333333"/>
                <w:sz w:val="18"/>
                <w:szCs w:val="18"/>
              </w:rPr>
              <w:t>)</w:t>
            </w:r>
          </w:p>
        </w:tc>
        <w:tc>
          <w:tcPr>
            <w:tcW w:w="525" w:type="dxa"/>
            <w:shd w:val="clear" w:color="auto" w:fill="auto"/>
            <w:vAlign w:val="center"/>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32" w:type="dxa"/>
            <w:shd w:val="clear" w:color="auto" w:fill="auto"/>
            <w:vAlign w:val="center"/>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vMerge w:val="continue"/>
            <w:shd w:val="clear" w:color="auto" w:fill="auto"/>
          </w:tcPr>
          <w:p>
            <w:pPr>
              <w:snapToGrid w:val="0"/>
              <w:spacing w:line="240" w:lineRule="exact"/>
              <w:jc w:val="left"/>
              <w:rPr>
                <w:rFonts w:ascii="宋体" w:hAnsi="宋体" w:eastAsia="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trPr>
        <w:tc>
          <w:tcPr>
            <w:tcW w:w="915" w:type="dxa"/>
            <w:vMerge w:val="restart"/>
            <w:shd w:val="clear" w:color="auto" w:fill="auto"/>
            <w:vAlign w:val="center"/>
          </w:tcPr>
          <w:p>
            <w:pPr>
              <w:snapToGrid w:val="0"/>
              <w:jc w:val="left"/>
              <w:rPr>
                <w:rFonts w:ascii="微软雅黑" w:hAnsi="微软雅黑" w:eastAsia="微软雅黑"/>
                <w:color w:val="333333"/>
                <w:szCs w:val="21"/>
              </w:rPr>
            </w:pPr>
            <w:r>
              <w:rPr>
                <w:rFonts w:hint="eastAsia" w:ascii="宋体" w:hAnsi="宋体" w:eastAsia="宋体"/>
                <w:b/>
                <w:bCs/>
                <w:color w:val="333333"/>
                <w:sz w:val="18"/>
                <w:szCs w:val="18"/>
              </w:rPr>
              <w:t>专业必修课（4学分）</w:t>
            </w: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ME003211202005</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大气污染控制理论与技术(Air Pollution Control Theories and Technologies)</w:t>
            </w:r>
          </w:p>
        </w:tc>
        <w:tc>
          <w:tcPr>
            <w:tcW w:w="525" w:type="dxa"/>
            <w:shd w:val="clear" w:color="auto" w:fill="auto"/>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trPr>
        <w:tc>
          <w:tcPr>
            <w:tcW w:w="915" w:type="dxa"/>
            <w:vMerge w:val="continue"/>
            <w:shd w:val="clear" w:color="auto" w:fill="auto"/>
            <w:vAlign w:val="center"/>
          </w:tcPr>
          <w:p>
            <w:pPr>
              <w:snapToGrid w:val="0"/>
              <w:jc w:val="left"/>
              <w:rPr>
                <w:rFonts w:ascii="宋体" w:hAnsi="宋体" w:eastAsia="宋体"/>
                <w:b/>
                <w:bCs/>
                <w:color w:val="333333"/>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ME003211202010</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水污染控制工程(Water Pollution Control Engineering)</w:t>
            </w:r>
          </w:p>
        </w:tc>
        <w:tc>
          <w:tcPr>
            <w:tcW w:w="525" w:type="dxa"/>
            <w:shd w:val="clear" w:color="auto" w:fill="auto"/>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25" w:hRule="atLeast"/>
        </w:trPr>
        <w:tc>
          <w:tcPr>
            <w:tcW w:w="915" w:type="dxa"/>
            <w:vMerge w:val="continue"/>
            <w:shd w:val="clear" w:color="auto" w:fill="auto"/>
            <w:vAlign w:val="center"/>
          </w:tcPr>
          <w:p>
            <w:pPr>
              <w:snapToGrid w:val="0"/>
              <w:jc w:val="left"/>
              <w:rPr>
                <w:rFonts w:ascii="宋体" w:hAnsi="宋体" w:eastAsia="宋体"/>
                <w:b/>
                <w:bCs/>
                <w:color w:val="333333"/>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ME003211202035</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固体废弃物处理与处置(Solid Waste Treatment and Disposal)</w:t>
            </w:r>
          </w:p>
        </w:tc>
        <w:tc>
          <w:tcPr>
            <w:tcW w:w="525" w:type="dxa"/>
            <w:shd w:val="clear" w:color="auto" w:fill="auto"/>
          </w:tcPr>
          <w:p>
            <w:pPr>
              <w:snapToGrid w:val="0"/>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restart"/>
            <w:shd w:val="clear" w:color="auto" w:fill="auto"/>
            <w:vAlign w:val="center"/>
          </w:tcPr>
          <w:p>
            <w:pPr>
              <w:snapToGrid w:val="0"/>
              <w:spacing w:line="240" w:lineRule="exact"/>
              <w:jc w:val="center"/>
              <w:rPr>
                <w:rFonts w:ascii="宋体" w:hAnsi="宋体" w:eastAsia="宋体"/>
                <w:b/>
                <w:bCs/>
                <w:color w:val="000000"/>
                <w:sz w:val="18"/>
                <w:szCs w:val="18"/>
              </w:rPr>
            </w:pPr>
            <w:r>
              <w:rPr>
                <w:rFonts w:hint="eastAsia" w:ascii="宋体" w:hAnsi="宋体" w:eastAsia="宋体"/>
                <w:b/>
                <w:bCs/>
                <w:color w:val="333333"/>
                <w:sz w:val="18"/>
                <w:szCs w:val="18"/>
              </w:rPr>
              <w:t>专业选修课（</w:t>
            </w:r>
            <w:r>
              <w:rPr>
                <w:rFonts w:ascii="宋体" w:hAnsi="宋体" w:eastAsia="宋体"/>
                <w:b/>
                <w:bCs/>
                <w:color w:val="333333"/>
                <w:sz w:val="18"/>
                <w:szCs w:val="18"/>
              </w:rPr>
              <w:t>8</w:t>
            </w:r>
            <w:r>
              <w:rPr>
                <w:rFonts w:hint="eastAsia" w:ascii="宋体" w:hAnsi="宋体" w:eastAsia="宋体"/>
                <w:b/>
                <w:bCs/>
                <w:color w:val="333333"/>
                <w:sz w:val="18"/>
                <w:szCs w:val="18"/>
              </w:rPr>
              <w:t>学分）</w:t>
            </w: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ME003211202032</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环境工程CAD设计(CAD Application in Environmental Engineering)</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vAlign w:val="center"/>
          </w:tcPr>
          <w:p>
            <w:pPr>
              <w:pStyle w:val="15"/>
              <w:jc w:val="left"/>
              <w:rPr>
                <w:rFonts w:ascii="Times New Roman" w:hAnsi="Times New Roman" w:cs="Times New Roman"/>
                <w:szCs w:val="18"/>
              </w:rPr>
            </w:pPr>
            <w:r>
              <w:rPr>
                <w:rFonts w:ascii="Times New Roman" w:hAnsi="Times New Roman" w:cs="Times New Roman"/>
                <w:szCs w:val="18"/>
              </w:rPr>
              <w:t>ENSE3211102044</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环保机械与设备(Mechanical Equipment of Environmental Protection Industry)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ME003211202012</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现代环境监测技术(Modern Environmental Monitoring Technology)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ENSE3211102040</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废水处理运行管理(Operation/Management of Wastewater Treatment Engineering)</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14"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ENSE3211102033</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水的物化处理技术(Physiochemical Treatment Technology of Water and Wastewater)</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ENSE3211102041</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废水高级生化处理(The Advanced Biochemical Treatment of Wastewater)</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ENSE3211102043</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河流污染治理与修复-技术与案例(Treatment and Restoration of River Pollution --Technologies and Cases)</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ENSE3211102039</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水环境治理与修复的理论与工程实践(Theories and Engineering of Water Environment Treatment and Restoration)</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ENSE3211102038</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水处理电化学原理与技术(Electrochemical Principles and Technology of Water Treatment Technology)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3</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ENSE3211102023</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河流健康与流域管理(River Health and River Basin Management)</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ENSE3211102004</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城市水资源管理与低影响开发响应(Urban Water Resource Management and Its Response to Low Impact Development)</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pStyle w:val="15"/>
              <w:jc w:val="left"/>
              <w:rPr>
                <w:rFonts w:ascii="Times New Roman" w:hAnsi="Times New Roman" w:cs="Times New Roman"/>
                <w:szCs w:val="18"/>
              </w:rPr>
            </w:pPr>
            <w:r>
              <w:rPr>
                <w:rFonts w:ascii="Times New Roman" w:hAnsi="Times New Roman" w:cs="Times New Roman"/>
                <w:szCs w:val="18"/>
              </w:rPr>
              <w:t>ME003211202013</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环境治理与修复技术(Treatment and Remediation of Contaminated Environment)</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3</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ENSE3211102031</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污水污泥处理与处置工程(Sewage Sludge Treatment and Disposal)</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ENSE3211102045</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环境分子生物学技术(Environmental Molecular Biotechnology)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ENSE3211102046</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环境生物技术(Environmental Biotechnology)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ENSE3211102047</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环境纳米科学与技术研究前沿(Frontiers of Environmental Nano Science and Technology)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ENSE3211102048</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生物质能源的开发与利用(Development and Utilization of Biomass Energy)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ENSE3211102042</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高级城市生态学(Advanced Urban Ecology)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ECOL3211102019</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生态环境遥感(Ecological Environment Remote Sensing)</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ECOL3211102036</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污染生态学进展(Progress in Pollution Ecology)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E003211202028</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群落多元统计应用(Applied Multivariate Statistics for Ecological Communities)</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Times New Roman" w:hAnsi="Times New Roman" w:cs="Times New Roman"/>
                <w:sz w:val="18"/>
                <w:szCs w:val="18"/>
              </w:rPr>
            </w:pPr>
            <w:r>
              <w:rPr>
                <w:rFonts w:hint="eastAsia" w:ascii="Times New Roman" w:hAnsi="Times New Roman" w:cs="Times New Roman"/>
                <w:sz w:val="18"/>
                <w:szCs w:val="18"/>
              </w:rPr>
              <w:t>E</w:t>
            </w:r>
            <w:r>
              <w:rPr>
                <w:rFonts w:ascii="Times New Roman" w:hAnsi="Times New Roman" w:cs="Times New Roman"/>
                <w:sz w:val="18"/>
                <w:szCs w:val="18"/>
              </w:rPr>
              <w:t>COL3211102021</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水生态恢复及工程实践(Aquatic Ecosystem Restoration and Implementation)</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ENSE3211102014</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生态毒理学原理与方法(Principles and Methods of Ecotoxicology)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ENSE3211102016</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环境化学</w:t>
            </w:r>
            <w:r>
              <w:rPr>
                <w:rFonts w:ascii="Times New Roman" w:hAnsi="Times New Roman" w:eastAsia="宋体" w:cs="Times New Roman"/>
                <w:color w:val="333333"/>
                <w:sz w:val="18"/>
                <w:szCs w:val="18"/>
              </w:rPr>
              <w:t>(Environmental Chemistry)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3</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snapToGrid w:val="0"/>
              <w:spacing w:line="240" w:lineRule="exact"/>
              <w:jc w:val="left"/>
              <w:rPr>
                <w:rFonts w:ascii="微软雅黑" w:hAnsi="微软雅黑" w:eastAsia="微软雅黑"/>
                <w:color w:val="333333"/>
                <w:sz w:val="18"/>
                <w:szCs w:val="18"/>
              </w:rPr>
            </w:pPr>
            <w:r>
              <w:rPr>
                <w:rFonts w:ascii="Times New Roman" w:hAnsi="Times New Roman" w:cs="Times New Roman"/>
                <w:sz w:val="18"/>
                <w:szCs w:val="18"/>
              </w:rPr>
              <w:t>ENSE3211102012</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环境微生物学</w:t>
            </w:r>
            <w:r>
              <w:rPr>
                <w:rFonts w:ascii="Times New Roman" w:hAnsi="Times New Roman" w:eastAsia="宋体" w:cs="Times New Roman"/>
                <w:color w:val="333333"/>
                <w:sz w:val="18"/>
                <w:szCs w:val="18"/>
              </w:rPr>
              <w:t>(Environmental Microbiology)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vAlign w:val="center"/>
          </w:tcPr>
          <w:p>
            <w:pPr>
              <w:pStyle w:val="15"/>
              <w:jc w:val="left"/>
              <w:rPr>
                <w:rFonts w:ascii="Times New Roman" w:hAnsi="Times New Roman" w:cs="Times New Roman"/>
                <w:szCs w:val="18"/>
              </w:rPr>
            </w:pPr>
            <w:r>
              <w:rPr>
                <w:rFonts w:ascii="Times New Roman" w:hAnsi="Times New Roman" w:cs="Times New Roman"/>
                <w:szCs w:val="18"/>
              </w:rPr>
              <w:t>ENSE3211102051</w:t>
            </w:r>
          </w:p>
        </w:tc>
        <w:tc>
          <w:tcPr>
            <w:tcW w:w="3105" w:type="dxa"/>
            <w:shd w:val="clear" w:color="auto" w:fill="auto"/>
            <w:vAlign w:val="center"/>
          </w:tcPr>
          <w:p>
            <w:pPr>
              <w:snapToGrid w:val="0"/>
              <w:spacing w:line="240" w:lineRule="exact"/>
              <w:jc w:val="left"/>
              <w:rPr>
                <w:rFonts w:ascii="Times New Roman" w:hAnsi="Times New Roman" w:eastAsia="宋体" w:cs="Times New Roman"/>
                <w:color w:val="333333"/>
                <w:sz w:val="18"/>
                <w:szCs w:val="18"/>
              </w:rPr>
            </w:pPr>
            <w:r>
              <w:rPr>
                <w:rFonts w:ascii="Times New Roman" w:hAnsi="Times New Roman" w:eastAsia="宋体" w:cs="Times New Roman"/>
                <w:color w:val="333333"/>
                <w:sz w:val="18"/>
                <w:szCs w:val="18"/>
              </w:rPr>
              <w:t>环境土壤学原理(Principles of Environmental Soil Science)</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pStyle w:val="15"/>
              <w:jc w:val="left"/>
              <w:rPr>
                <w:rFonts w:ascii="微软雅黑" w:hAnsi="微软雅黑" w:eastAsia="微软雅黑"/>
                <w:color w:val="333333"/>
                <w:szCs w:val="18"/>
              </w:rPr>
            </w:pPr>
            <w:r>
              <w:rPr>
                <w:rFonts w:ascii="Times New Roman" w:hAnsi="Times New Roman" w:cs="Times New Roman"/>
                <w:szCs w:val="18"/>
              </w:rPr>
              <w:t>ENSE3211102055</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环境微生物基因组学与生信技术</w:t>
            </w:r>
            <w:r>
              <w:rPr>
                <w:rFonts w:ascii="Times New Roman" w:hAnsi="Times New Roman" w:eastAsia="宋体" w:cs="Times New Roman"/>
                <w:color w:val="333333"/>
                <w:sz w:val="18"/>
                <w:szCs w:val="18"/>
              </w:rPr>
              <w:t>(Environmental microbial metagenomics and bioinformatic technologies)</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pStyle w:val="15"/>
              <w:jc w:val="left"/>
              <w:rPr>
                <w:rFonts w:ascii="Times New Roman" w:hAnsi="Times New Roman" w:cs="Times New Roman"/>
                <w:szCs w:val="18"/>
              </w:rPr>
            </w:pPr>
            <w:r>
              <w:rPr>
                <w:rFonts w:ascii="Times New Roman" w:hAnsi="Times New Roman" w:cs="Times New Roman"/>
                <w:szCs w:val="18"/>
              </w:rPr>
              <w:t>ENSE3211102057</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水污染控制高级氧化技术</w:t>
            </w:r>
            <w:r>
              <w:rPr>
                <w:rFonts w:ascii="Times New Roman" w:hAnsi="Times New Roman" w:eastAsia="宋体" w:cs="Times New Roman"/>
                <w:color w:val="333333"/>
                <w:sz w:val="18"/>
                <w:szCs w:val="18"/>
              </w:rPr>
              <w:t>(Advanced Oxidation Processes for Water Pollution Control)</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hint="eastAsia"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pStyle w:val="15"/>
              <w:jc w:val="left"/>
              <w:rPr>
                <w:rFonts w:ascii="Times New Roman" w:hAnsi="Times New Roman" w:cs="Times New Roman"/>
                <w:szCs w:val="18"/>
              </w:rPr>
            </w:pPr>
            <w:r>
              <w:rPr>
                <w:rFonts w:ascii="Times New Roman" w:hAnsi="Times New Roman" w:cs="Times New Roman"/>
                <w:szCs w:val="18"/>
              </w:rPr>
              <w:t>ENSE3211102056</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环境有机质谱</w:t>
            </w:r>
            <w:r>
              <w:rPr>
                <w:rFonts w:ascii="Times New Roman" w:hAnsi="Times New Roman" w:eastAsia="宋体" w:cs="Times New Roman"/>
                <w:color w:val="333333"/>
                <w:sz w:val="18"/>
                <w:szCs w:val="18"/>
              </w:rPr>
              <w:t>(Environmental Organic Mass Spectrometry)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秋</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vMerge w:val="continue"/>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pStyle w:val="15"/>
              <w:jc w:val="left"/>
              <w:rPr>
                <w:rFonts w:ascii="微软雅黑" w:hAnsi="微软雅黑" w:eastAsia="微软雅黑"/>
                <w:color w:val="333333"/>
                <w:szCs w:val="18"/>
              </w:rPr>
            </w:pPr>
            <w:r>
              <w:rPr>
                <w:rFonts w:ascii="Times New Roman" w:hAnsi="Times New Roman" w:cs="Times New Roman"/>
                <w:szCs w:val="18"/>
              </w:rPr>
              <w:t>ENSE3211102053</w:t>
            </w:r>
          </w:p>
        </w:tc>
        <w:tc>
          <w:tcPr>
            <w:tcW w:w="3105" w:type="dxa"/>
            <w:shd w:val="clear" w:color="auto" w:fill="auto"/>
          </w:tcPr>
          <w:p>
            <w:pPr>
              <w:snapToGrid w:val="0"/>
              <w:spacing w:line="240" w:lineRule="exact"/>
              <w:jc w:val="left"/>
              <w:rPr>
                <w:rFonts w:ascii="Times New Roman" w:hAnsi="Times New Roman" w:eastAsia="宋体" w:cs="Times New Roman"/>
                <w:color w:val="333333"/>
                <w:sz w:val="18"/>
                <w:szCs w:val="18"/>
              </w:rPr>
            </w:pPr>
            <w:r>
              <w:rPr>
                <w:rFonts w:hint="eastAsia" w:ascii="Times New Roman" w:hAnsi="Times New Roman" w:eastAsia="宋体" w:cs="Times New Roman"/>
                <w:color w:val="333333"/>
                <w:sz w:val="18"/>
                <w:szCs w:val="18"/>
              </w:rPr>
              <w:t>环境工程微生物学</w:t>
            </w:r>
            <w:r>
              <w:rPr>
                <w:rFonts w:ascii="Times New Roman" w:hAnsi="Times New Roman" w:eastAsia="宋体" w:cs="Times New Roman"/>
                <w:color w:val="333333"/>
                <w:sz w:val="18"/>
                <w:szCs w:val="18"/>
              </w:rPr>
              <w:t>(Environmental EngineeringMicrobiology)</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r>
              <w:rPr>
                <w:rFonts w:ascii="Times New Roman" w:hAnsi="Times New Roman" w:eastAsia="微软雅黑" w:cs="Times New Roman"/>
                <w:color w:val="333333"/>
                <w:sz w:val="18"/>
                <w:szCs w:val="18"/>
              </w:rPr>
              <w:t>2</w:t>
            </w:r>
          </w:p>
        </w:tc>
        <w:tc>
          <w:tcPr>
            <w:tcW w:w="532" w:type="dxa"/>
            <w:shd w:val="clear" w:color="auto" w:fill="auto"/>
          </w:tcPr>
          <w:p>
            <w:pPr>
              <w:snapToGrid w:val="0"/>
              <w:spacing w:line="240" w:lineRule="exact"/>
              <w:jc w:val="center"/>
              <w:rPr>
                <w:rFonts w:ascii="宋体" w:hAnsi="宋体" w:eastAsia="宋体"/>
                <w:color w:val="333333"/>
                <w:sz w:val="18"/>
                <w:szCs w:val="18"/>
              </w:rPr>
            </w:pPr>
            <w:r>
              <w:rPr>
                <w:rFonts w:hint="eastAsia" w:ascii="宋体" w:hAnsi="宋体" w:eastAsia="宋体"/>
                <w:color w:val="333333"/>
                <w:sz w:val="18"/>
                <w:szCs w:val="18"/>
              </w:rPr>
              <w:t>春</w:t>
            </w: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30" w:hRule="atLeast"/>
        </w:trPr>
        <w:tc>
          <w:tcPr>
            <w:tcW w:w="915" w:type="dxa"/>
            <w:shd w:val="clear" w:color="auto" w:fill="auto"/>
            <w:vAlign w:val="center"/>
          </w:tcPr>
          <w:p>
            <w:pPr>
              <w:snapToGrid w:val="0"/>
              <w:spacing w:line="240" w:lineRule="exact"/>
              <w:jc w:val="center"/>
              <w:rPr>
                <w:rFonts w:ascii="宋体" w:hAnsi="宋体" w:eastAsia="宋体"/>
                <w:b/>
                <w:bCs/>
                <w:color w:val="000000"/>
                <w:sz w:val="18"/>
                <w:szCs w:val="18"/>
              </w:rPr>
            </w:pPr>
          </w:p>
        </w:tc>
        <w:tc>
          <w:tcPr>
            <w:tcW w:w="1155" w:type="dxa"/>
            <w:shd w:val="clear" w:color="auto" w:fill="auto"/>
          </w:tcPr>
          <w:p>
            <w:pPr>
              <w:pStyle w:val="15"/>
              <w:jc w:val="left"/>
              <w:rPr>
                <w:rFonts w:ascii="Times New Roman" w:hAnsi="Times New Roman" w:cs="Times New Roman"/>
                <w:szCs w:val="18"/>
              </w:rPr>
            </w:pPr>
            <w:r>
              <w:rPr>
                <w:rFonts w:ascii="Times New Roman" w:hAnsi="Times New Roman" w:cs="Times New Roman"/>
                <w:color w:val="000000"/>
              </w:rPr>
              <w:t>ENSE3211102059</w:t>
            </w:r>
          </w:p>
        </w:tc>
        <w:tc>
          <w:tcPr>
            <w:tcW w:w="3105" w:type="dxa"/>
            <w:shd w:val="clear" w:color="auto" w:fill="auto"/>
          </w:tcPr>
          <w:p>
            <w:pPr>
              <w:pStyle w:val="15"/>
              <w:jc w:val="left"/>
              <w:rPr>
                <w:rFonts w:ascii="Times New Roman" w:hAnsi="Times New Roman" w:eastAsia="宋体" w:cs="Times New Roman"/>
                <w:color w:val="333333"/>
                <w:szCs w:val="18"/>
              </w:rPr>
            </w:pPr>
            <w:r>
              <w:rPr>
                <w:rFonts w:hint="eastAsia" w:ascii="Times New Roman" w:hAnsi="Times New Roman" w:cs="Times New Roman" w:eastAsiaTheme="minorEastAsia"/>
              </w:rPr>
              <w:t>环境管理</w:t>
            </w:r>
            <w:r>
              <w:rPr>
                <w:rFonts w:ascii="Times New Roman" w:hAnsi="Times New Roman" w:cs="Times New Roman" w:eastAsiaTheme="minorEastAsia"/>
              </w:rPr>
              <w:t>研究方法与案例分析</w:t>
            </w:r>
            <w:r>
              <w:rPr>
                <w:rFonts w:ascii="Times New Roman" w:hAnsi="Times New Roman" w:eastAsia="宋体" w:cs="Times New Roman"/>
                <w:color w:val="333333"/>
                <w:szCs w:val="18"/>
              </w:rPr>
              <w:t>(</w:t>
            </w:r>
            <w:r>
              <w:rPr>
                <w:rFonts w:ascii="Times New Roman" w:hAnsi="Times New Roman" w:cs="Times New Roman" w:eastAsiaTheme="minorEastAsia"/>
              </w:rPr>
              <w:t>Environmental management methods and case studies</w:t>
            </w:r>
            <w:r>
              <w:rPr>
                <w:rFonts w:ascii="Times New Roman" w:hAnsi="Times New Roman" w:eastAsia="宋体" w:cs="Times New Roman"/>
                <w:color w:val="333333"/>
                <w:szCs w:val="18"/>
              </w:rPr>
              <w:t>)</w:t>
            </w:r>
          </w:p>
        </w:tc>
        <w:tc>
          <w:tcPr>
            <w:tcW w:w="525" w:type="dxa"/>
            <w:shd w:val="clear" w:color="auto" w:fill="auto"/>
          </w:tcPr>
          <w:p>
            <w:pPr>
              <w:snapToGrid w:val="0"/>
              <w:spacing w:line="240" w:lineRule="exact"/>
              <w:jc w:val="center"/>
              <w:rPr>
                <w:rFonts w:ascii="Times New Roman" w:hAnsi="Times New Roman" w:eastAsia="微软雅黑" w:cs="Times New Roman"/>
                <w:color w:val="333333"/>
                <w:sz w:val="18"/>
                <w:szCs w:val="18"/>
              </w:rPr>
            </w:pPr>
          </w:p>
        </w:tc>
        <w:tc>
          <w:tcPr>
            <w:tcW w:w="532" w:type="dxa"/>
            <w:shd w:val="clear" w:color="auto" w:fill="auto"/>
          </w:tcPr>
          <w:p>
            <w:pPr>
              <w:snapToGrid w:val="0"/>
              <w:spacing w:line="240" w:lineRule="exact"/>
              <w:jc w:val="center"/>
              <w:rPr>
                <w:rFonts w:ascii="宋体" w:hAnsi="宋体" w:eastAsia="宋体"/>
                <w:color w:val="333333"/>
                <w:sz w:val="18"/>
                <w:szCs w:val="18"/>
              </w:rPr>
            </w:pPr>
          </w:p>
        </w:tc>
        <w:tc>
          <w:tcPr>
            <w:tcW w:w="851" w:type="dxa"/>
            <w:shd w:val="clear" w:color="auto" w:fill="auto"/>
          </w:tcPr>
          <w:p>
            <w:pPr>
              <w:snapToGrid w:val="0"/>
              <w:spacing w:line="240" w:lineRule="exact"/>
              <w:jc w:val="left"/>
              <w:rPr>
                <w:rFonts w:ascii="微软雅黑" w:hAnsi="微软雅黑" w:eastAsia="微软雅黑"/>
                <w:color w:val="333333"/>
                <w:szCs w:val="21"/>
              </w:rPr>
            </w:pPr>
          </w:p>
        </w:tc>
        <w:tc>
          <w:tcPr>
            <w:tcW w:w="1917" w:type="dxa"/>
            <w:shd w:val="clear" w:color="auto" w:fill="auto"/>
          </w:tcPr>
          <w:p>
            <w:pPr>
              <w:snapToGrid w:val="0"/>
              <w:spacing w:line="240" w:lineRule="exact"/>
              <w:jc w:val="left"/>
              <w:rPr>
                <w:rFonts w:ascii="微软雅黑" w:hAnsi="微软雅黑" w:eastAsia="微软雅黑"/>
                <w:color w:val="333333"/>
                <w:szCs w:val="21"/>
              </w:rPr>
            </w:pPr>
          </w:p>
        </w:tc>
      </w:tr>
    </w:tbl>
    <w:p>
      <w:pPr>
        <w:snapToGrid w:val="0"/>
        <w:spacing w:before="156" w:beforeLines="50" w:after="156" w:afterLines="50" w:line="320" w:lineRule="exact"/>
        <w:ind w:firstLine="420" w:firstLineChars="200"/>
        <w:rPr>
          <w:rFonts w:asciiTheme="minorEastAsia" w:hAnsiTheme="minorEastAsia"/>
          <w:color w:val="000000"/>
          <w:szCs w:val="21"/>
        </w:rPr>
      </w:pPr>
      <w:r>
        <w:rPr>
          <w:rFonts w:asciiTheme="minorEastAsia" w:hAnsiTheme="minorEastAsia"/>
          <w:color w:val="000000"/>
          <w:szCs w:val="21"/>
        </w:rPr>
        <w:t>（三）专业实践</w:t>
      </w:r>
    </w:p>
    <w:p>
      <w:pPr>
        <w:snapToGrid w:val="0"/>
        <w:spacing w:line="320" w:lineRule="exact"/>
        <w:ind w:firstLine="420" w:firstLineChars="200"/>
        <w:rPr>
          <w:rFonts w:ascii="黑体" w:hAnsi="黑体" w:eastAsia="黑体"/>
          <w:color w:val="000000"/>
          <w:szCs w:val="21"/>
        </w:rPr>
      </w:pPr>
      <w:r>
        <w:rPr>
          <w:rFonts w:asciiTheme="minorEastAsia" w:hAnsiTheme="minorEastAsia"/>
          <w:color w:val="000000"/>
          <w:szCs w:val="21"/>
        </w:rPr>
        <w:t>1</w:t>
      </w:r>
      <w:r>
        <w:rPr>
          <w:rFonts w:ascii="仿宋" w:hAnsi="仿宋" w:eastAsia="仿宋"/>
          <w:color w:val="000000"/>
          <w:szCs w:val="21"/>
        </w:rPr>
        <w:t>.</w:t>
      </w:r>
      <w:r>
        <w:rPr>
          <w:rFonts w:asciiTheme="minorEastAsia" w:hAnsiTheme="minorEastAsia"/>
          <w:color w:val="000000"/>
          <w:szCs w:val="21"/>
        </w:rPr>
        <w:t>基本设置</w:t>
      </w:r>
    </w:p>
    <w:p>
      <w:pPr>
        <w:ind w:firstLine="420" w:firstLineChars="200"/>
        <w:rPr>
          <w:rFonts w:ascii="Times New Roman" w:hAnsi="Times New Roman" w:cs="Times New Roman"/>
          <w:szCs w:val="21"/>
        </w:rPr>
      </w:pPr>
      <w:r>
        <w:rPr>
          <w:rFonts w:ascii="Times New Roman" w:hAnsi="Times New Roman" w:cs="Times New Roman"/>
          <w:szCs w:val="21"/>
        </w:rPr>
        <w:t>专业实践是专业学位研究生培养中的必修环节。充分、高质量的专业实践是专业学位研究生教育质量的重要保证。根据《华东师范大学全日制硕士专业学位研究生专业实践实施办法》：研究生应在学校专业实践基地完成专业实践工作，或由</w:t>
      </w:r>
      <w:r>
        <w:rPr>
          <w:rFonts w:hint="eastAsia" w:ascii="Times New Roman" w:hAnsi="Times New Roman" w:cs="Times New Roman"/>
          <w:szCs w:val="21"/>
        </w:rPr>
        <w:t>学院以及</w:t>
      </w:r>
      <w:r>
        <w:rPr>
          <w:rFonts w:ascii="Times New Roman" w:hAnsi="Times New Roman" w:cs="Times New Roman"/>
          <w:szCs w:val="21"/>
        </w:rPr>
        <w:t>各位指导导师</w:t>
      </w:r>
      <w:r>
        <w:rPr>
          <w:rFonts w:hint="eastAsia" w:ascii="Times New Roman" w:hAnsi="Times New Roman" w:cs="Times New Roman"/>
          <w:szCs w:val="21"/>
        </w:rPr>
        <w:t>共同</w:t>
      </w:r>
      <w:r>
        <w:rPr>
          <w:rFonts w:ascii="Times New Roman" w:hAnsi="Times New Roman" w:cs="Times New Roman"/>
          <w:szCs w:val="21"/>
        </w:rPr>
        <w:t>负责联系学生实践单位，这些实践单位可以是环境相关的设计院、研究所或相关环保咨询公司或者大型环保公司；且该单位必须由</w:t>
      </w:r>
      <w:r>
        <w:rPr>
          <w:rFonts w:hint="eastAsia" w:ascii="Times New Roman" w:hAnsi="Times New Roman" w:cs="Times New Roman"/>
          <w:szCs w:val="21"/>
        </w:rPr>
        <w:t>至少</w:t>
      </w:r>
      <w:r>
        <w:rPr>
          <w:rFonts w:ascii="Times New Roman" w:hAnsi="Times New Roman" w:cs="Times New Roman"/>
          <w:szCs w:val="21"/>
        </w:rPr>
        <w:t>一名具有硕士及以上学历、职称至少为工程师及以上的人员指导。由校内指导教师与企业指导人员共同确定实践内容和考核方式，企业指导人员须在研究生实践结束后完成考核评价，填写实习评语。具有2年及以上企业工作经历的研究生专业实践时间应不少于6个月；不具有2年企业工作经历的研究生专业实践时间应不少于1年。实习合格，获得8个学分</w:t>
      </w:r>
      <w:r>
        <w:rPr>
          <w:rFonts w:hint="eastAsia" w:ascii="Times New Roman" w:hAnsi="Times New Roman" w:cs="Times New Roman"/>
          <w:szCs w:val="21"/>
        </w:rPr>
        <w:t>。一般于第二学年结束前完成。</w:t>
      </w:r>
    </w:p>
    <w:p>
      <w:pPr>
        <w:snapToGrid w:val="0"/>
        <w:spacing w:line="320" w:lineRule="exact"/>
        <w:ind w:firstLine="420" w:firstLineChars="200"/>
        <w:rPr>
          <w:rFonts w:asciiTheme="minorEastAsia" w:hAnsiTheme="minorEastAsia"/>
          <w:color w:val="000000"/>
          <w:szCs w:val="21"/>
        </w:rPr>
      </w:pPr>
      <w:r>
        <w:rPr>
          <w:rFonts w:asciiTheme="minorEastAsia" w:hAnsiTheme="minorEastAsia"/>
          <w:color w:val="000000"/>
          <w:szCs w:val="21"/>
        </w:rPr>
        <w:t>2.成果与评价</w:t>
      </w:r>
    </w:p>
    <w:p>
      <w:pPr>
        <w:snapToGrid w:val="0"/>
        <w:spacing w:line="320" w:lineRule="exact"/>
        <w:ind w:firstLine="420" w:firstLineChars="200"/>
        <w:rPr>
          <w:rFonts w:asciiTheme="minorEastAsia" w:hAnsiTheme="minorEastAsia"/>
          <w:color w:val="000000"/>
          <w:szCs w:val="21"/>
        </w:rPr>
      </w:pPr>
      <w:r>
        <w:rPr>
          <w:rFonts w:asciiTheme="minorEastAsia" w:hAnsiTheme="minorEastAsia"/>
          <w:color w:val="000000"/>
          <w:szCs w:val="21"/>
        </w:rPr>
        <w:t>（1）成果形式</w:t>
      </w:r>
    </w:p>
    <w:p>
      <w:pPr>
        <w:snapToGrid w:val="0"/>
        <w:spacing w:line="320" w:lineRule="exact"/>
        <w:ind w:firstLine="420" w:firstLineChars="200"/>
        <w:rPr>
          <w:rFonts w:asciiTheme="minorEastAsia" w:hAnsiTheme="minorEastAsia"/>
          <w:color w:val="000000"/>
          <w:szCs w:val="21"/>
        </w:rPr>
      </w:pPr>
      <w:r>
        <w:rPr>
          <w:rFonts w:hint="eastAsia" w:asciiTheme="minorEastAsia" w:hAnsiTheme="minorEastAsia"/>
          <w:color w:val="000000"/>
          <w:szCs w:val="21"/>
        </w:rPr>
        <w:t>按照实践主要内容，可以是各类调研报告、案例分析报告等；各类研发、设计和制造的产品、作品等；与专业实践相关的研究论文等。</w:t>
      </w:r>
    </w:p>
    <w:p>
      <w:pPr>
        <w:snapToGrid w:val="0"/>
        <w:spacing w:line="320" w:lineRule="exact"/>
        <w:ind w:firstLine="420" w:firstLineChars="200"/>
        <w:rPr>
          <w:rFonts w:asciiTheme="minorEastAsia" w:hAnsiTheme="minorEastAsia"/>
          <w:color w:val="0070C0"/>
          <w:szCs w:val="21"/>
        </w:rPr>
      </w:pPr>
      <w:r>
        <w:rPr>
          <w:rFonts w:asciiTheme="minorEastAsia" w:hAnsiTheme="minorEastAsia"/>
          <w:color w:val="000000"/>
          <w:szCs w:val="21"/>
        </w:rPr>
        <w:t>（2）成果</w:t>
      </w:r>
      <w:r>
        <w:rPr>
          <w:rFonts w:hint="eastAsia" w:asciiTheme="minorEastAsia" w:hAnsiTheme="minorEastAsia"/>
          <w:color w:val="000000" w:themeColor="text1"/>
          <w:szCs w:val="21"/>
          <w14:textFill>
            <w14:solidFill>
              <w14:schemeClr w14:val="tx1"/>
            </w14:solidFill>
          </w14:textFill>
        </w:rPr>
        <w:t>定义与使用</w:t>
      </w:r>
    </w:p>
    <w:p>
      <w:pPr>
        <w:snapToGrid w:val="0"/>
        <w:spacing w:line="320" w:lineRule="exact"/>
        <w:ind w:firstLine="420" w:firstLineChars="200"/>
        <w:rPr>
          <w:rFonts w:asciiTheme="minorEastAsia" w:hAnsiTheme="minorEastAsia"/>
          <w:color w:val="000000"/>
          <w:szCs w:val="21"/>
        </w:rPr>
      </w:pPr>
      <w:r>
        <w:rPr>
          <w:rFonts w:hint="eastAsia" w:asciiTheme="minorEastAsia" w:hAnsiTheme="minorEastAsia"/>
          <w:color w:val="000000"/>
          <w:szCs w:val="21"/>
        </w:rPr>
        <w:t>专业实践须形成成果，形式可多样。</w:t>
      </w:r>
      <w:r>
        <w:rPr>
          <w:rFonts w:cs="Times New Roman" w:asciiTheme="minorEastAsia" w:hAnsiTheme="minorEastAsia"/>
          <w:szCs w:val="21"/>
        </w:rPr>
        <w:t>实践结束须递交五千字以上实习报告以及其它相应考核文件</w:t>
      </w:r>
      <w:r>
        <w:rPr>
          <w:rFonts w:hint="eastAsia" w:cs="Times New Roman" w:asciiTheme="minorEastAsia" w:hAnsiTheme="minorEastAsia"/>
          <w:szCs w:val="21"/>
        </w:rPr>
        <w:t>，</w:t>
      </w:r>
      <w:r>
        <w:rPr>
          <w:rFonts w:cs="Times New Roman" w:asciiTheme="minorEastAsia" w:hAnsiTheme="minorEastAsia"/>
          <w:szCs w:val="21"/>
        </w:rPr>
        <w:t>由实习单位出具相应证明材料加盖公章</w:t>
      </w:r>
      <w:r>
        <w:rPr>
          <w:rFonts w:hint="eastAsia" w:cs="Times New Roman" w:asciiTheme="minorEastAsia" w:hAnsiTheme="minorEastAsia"/>
          <w:szCs w:val="21"/>
        </w:rPr>
        <w:t>后提交院系审核。其他形式实践成果须提交资源与环境专业学位评定小组讨论，包括但不限于学术论文、大赛获奖、授权专利、软件著作权。以上成果的第一作者单位和通讯作者单位须为华东师范大学</w:t>
      </w:r>
      <w:r>
        <w:rPr>
          <w:rFonts w:hint="eastAsia" w:asciiTheme="minorEastAsia" w:hAnsiTheme="minorEastAsia"/>
          <w:color w:val="000000"/>
          <w:szCs w:val="21"/>
        </w:rPr>
        <w:t>。</w:t>
      </w:r>
    </w:p>
    <w:p>
      <w:pPr>
        <w:snapToGrid w:val="0"/>
        <w:spacing w:line="320" w:lineRule="exact"/>
        <w:ind w:firstLine="420" w:firstLineChars="200"/>
        <w:rPr>
          <w:rFonts w:asciiTheme="minorEastAsia" w:hAnsiTheme="minorEastAsia"/>
          <w:color w:val="000000"/>
          <w:szCs w:val="21"/>
        </w:rPr>
      </w:pPr>
      <w:r>
        <w:rPr>
          <w:rFonts w:asciiTheme="minorEastAsia" w:hAnsiTheme="minorEastAsia"/>
          <w:color w:val="000000"/>
          <w:szCs w:val="21"/>
        </w:rPr>
        <w:t>（3）成果考核与评价</w:t>
      </w:r>
    </w:p>
    <w:p>
      <w:pPr>
        <w:ind w:firstLine="420" w:firstLineChars="200"/>
        <w:rPr>
          <w:rFonts w:cs="Times New Roman" w:asciiTheme="minorEastAsia" w:hAnsiTheme="minorEastAsia"/>
          <w:szCs w:val="21"/>
        </w:rPr>
      </w:pPr>
      <w:r>
        <w:rPr>
          <w:rFonts w:cs="Times New Roman" w:asciiTheme="minorEastAsia" w:hAnsiTheme="minorEastAsia"/>
          <w:szCs w:val="21"/>
        </w:rPr>
        <w:t>实践成绩由导师和企业指导人员商议后给出成绩，并以企业指导人员成绩为主</w:t>
      </w:r>
      <w:r>
        <w:rPr>
          <w:rFonts w:hint="eastAsia" w:cs="Times New Roman" w:asciiTheme="minorEastAsia" w:hAnsiTheme="minorEastAsia"/>
          <w:szCs w:val="21"/>
        </w:rPr>
        <w:t>。实习合格获得</w:t>
      </w:r>
      <w:r>
        <w:rPr>
          <w:rFonts w:ascii="Times New Roman" w:hAnsi="Times New Roman" w:cs="Times New Roman"/>
          <w:szCs w:val="21"/>
        </w:rPr>
        <w:t>8</w:t>
      </w:r>
      <w:r>
        <w:rPr>
          <w:rFonts w:hint="eastAsia" w:cs="Times New Roman" w:asciiTheme="minorEastAsia" w:hAnsiTheme="minorEastAsia"/>
          <w:szCs w:val="21"/>
        </w:rPr>
        <w:t>学分，</w:t>
      </w:r>
      <w:r>
        <w:rPr>
          <w:rFonts w:cs="Times New Roman" w:asciiTheme="minorEastAsia" w:hAnsiTheme="minorEastAsia"/>
          <w:szCs w:val="21"/>
        </w:rPr>
        <w:t>没有获得实习成绩或实习不合格的，重新寻找单位实习，</w:t>
      </w:r>
      <w:r>
        <w:rPr>
          <w:rFonts w:hint="eastAsia" w:cs="Times New Roman" w:asciiTheme="minorEastAsia" w:hAnsiTheme="minorEastAsia"/>
          <w:szCs w:val="21"/>
        </w:rPr>
        <w:t>第二次实践考核仍不通过的，</w:t>
      </w:r>
      <w:r>
        <w:rPr>
          <w:rFonts w:hint="eastAsia"/>
        </w:rPr>
        <w:t>作肄业、退学等处理。</w:t>
      </w:r>
      <w:r>
        <w:rPr>
          <w:rFonts w:cs="Times New Roman" w:asciiTheme="minorEastAsia" w:hAnsiTheme="minorEastAsia"/>
          <w:szCs w:val="21"/>
        </w:rPr>
        <w:t xml:space="preserve"> </w:t>
      </w:r>
    </w:p>
    <w:p>
      <w:pPr>
        <w:ind w:firstLine="420" w:firstLineChars="200"/>
        <w:rPr>
          <w:rFonts w:cs="Times New Roman" w:asciiTheme="minorEastAsia" w:hAnsiTheme="minorEastAsia"/>
          <w:szCs w:val="21"/>
        </w:rPr>
      </w:pPr>
      <w:r>
        <w:rPr>
          <w:rFonts w:hint="eastAsia" w:cs="Times New Roman" w:asciiTheme="minorEastAsia" w:hAnsiTheme="minorEastAsia"/>
          <w:szCs w:val="21"/>
        </w:rPr>
        <w:t>3</w:t>
      </w:r>
      <w:r>
        <w:rPr>
          <w:rFonts w:cs="Times New Roman" w:asciiTheme="minorEastAsia" w:hAnsiTheme="minorEastAsia"/>
          <w:szCs w:val="21"/>
        </w:rPr>
        <w:t>.</w:t>
      </w:r>
      <w:r>
        <w:rPr>
          <w:rFonts w:hint="eastAsia" w:cs="Times New Roman" w:asciiTheme="minorEastAsia" w:hAnsiTheme="minorEastAsia"/>
          <w:szCs w:val="21"/>
        </w:rPr>
        <w:t>实践评价与指标体系</w:t>
      </w:r>
    </w:p>
    <w:p>
      <w:pPr>
        <w:ind w:firstLine="210" w:firstLineChars="1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1</w:t>
      </w:r>
      <w:r>
        <w:rPr>
          <w:rFonts w:hint="eastAsia" w:cs="Times New Roman" w:asciiTheme="minorEastAsia" w:hAnsiTheme="minorEastAsia"/>
          <w:szCs w:val="21"/>
        </w:rPr>
        <w:t>）</w:t>
      </w:r>
      <w:r>
        <w:rPr>
          <w:rFonts w:cs="Times New Roman" w:asciiTheme="minorEastAsia" w:hAnsiTheme="minorEastAsia"/>
          <w:szCs w:val="21"/>
        </w:rPr>
        <w:t>专业把控能力--实践选题</w:t>
      </w:r>
    </w:p>
    <w:p>
      <w:pPr>
        <w:ind w:left="420" w:leftChars="200"/>
        <w:rPr>
          <w:rFonts w:cs="Times New Roman" w:asciiTheme="minorEastAsia" w:hAnsiTheme="minorEastAsia"/>
          <w:szCs w:val="21"/>
        </w:rPr>
      </w:pPr>
      <w:r>
        <w:rPr>
          <w:rFonts w:cs="Times New Roman" w:asciiTheme="minorEastAsia" w:hAnsiTheme="minorEastAsia"/>
          <w:szCs w:val="21"/>
        </w:rPr>
        <w:t>a.选题背景明确，是环境领域问题（10%）</w:t>
      </w:r>
    </w:p>
    <w:p>
      <w:pPr>
        <w:ind w:left="420" w:leftChars="200"/>
        <w:rPr>
          <w:rFonts w:cs="Times New Roman" w:asciiTheme="minorEastAsia" w:hAnsiTheme="minorEastAsia"/>
          <w:szCs w:val="21"/>
        </w:rPr>
      </w:pPr>
      <w:r>
        <w:rPr>
          <w:rFonts w:cs="Times New Roman" w:asciiTheme="minorEastAsia" w:hAnsiTheme="minorEastAsia"/>
          <w:szCs w:val="21"/>
        </w:rPr>
        <w:t>b.选题目的明确、问题边界清晰、内容具体（10%）</w:t>
      </w:r>
    </w:p>
    <w:p>
      <w:pPr>
        <w:ind w:firstLine="210" w:firstLineChars="1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2</w:t>
      </w:r>
      <w:r>
        <w:rPr>
          <w:rFonts w:hint="eastAsia" w:cs="Times New Roman" w:asciiTheme="minorEastAsia" w:hAnsiTheme="minorEastAsia"/>
          <w:szCs w:val="21"/>
        </w:rPr>
        <w:t>）</w:t>
      </w:r>
      <w:r>
        <w:rPr>
          <w:rFonts w:cs="Times New Roman" w:asciiTheme="minorEastAsia" w:hAnsiTheme="minorEastAsia"/>
          <w:szCs w:val="21"/>
        </w:rPr>
        <w:t>专业动手能力--实践报告</w:t>
      </w:r>
    </w:p>
    <w:p>
      <w:pPr>
        <w:ind w:left="420" w:leftChars="200"/>
        <w:rPr>
          <w:rFonts w:cs="Times New Roman" w:asciiTheme="minorEastAsia" w:hAnsiTheme="minorEastAsia"/>
          <w:szCs w:val="21"/>
        </w:rPr>
      </w:pPr>
      <w:r>
        <w:rPr>
          <w:rFonts w:cs="Times New Roman" w:asciiTheme="minorEastAsia" w:hAnsiTheme="minorEastAsia"/>
          <w:szCs w:val="21"/>
        </w:rPr>
        <w:t>a.总体报告思路清晰、实践内容明确、具有实践成果（10%）</w:t>
      </w:r>
    </w:p>
    <w:p>
      <w:pPr>
        <w:ind w:left="420" w:leftChars="200"/>
        <w:rPr>
          <w:rFonts w:cs="Times New Roman" w:asciiTheme="minorEastAsia" w:hAnsiTheme="minorEastAsia"/>
          <w:szCs w:val="21"/>
        </w:rPr>
      </w:pPr>
      <w:r>
        <w:rPr>
          <w:rFonts w:cs="Times New Roman" w:asciiTheme="minorEastAsia" w:hAnsiTheme="minorEastAsia"/>
          <w:szCs w:val="21"/>
        </w:rPr>
        <w:t>b.设计、技术路线明确合理、实践内容丰度饱满、实践组织客观科学（30%）</w:t>
      </w:r>
    </w:p>
    <w:p>
      <w:pPr>
        <w:ind w:left="420" w:leftChars="200"/>
        <w:rPr>
          <w:rFonts w:cs="Times New Roman" w:asciiTheme="minorEastAsia" w:hAnsiTheme="minorEastAsia"/>
          <w:szCs w:val="21"/>
        </w:rPr>
      </w:pPr>
      <w:r>
        <w:rPr>
          <w:rFonts w:cs="Times New Roman" w:asciiTheme="minorEastAsia" w:hAnsiTheme="minorEastAsia"/>
          <w:szCs w:val="21"/>
        </w:rPr>
        <w:t>c.结论明确、具有理论或实践价值（10%）</w:t>
      </w:r>
    </w:p>
    <w:p>
      <w:pPr>
        <w:ind w:firstLine="210" w:firstLineChars="1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3</w:t>
      </w:r>
      <w:r>
        <w:rPr>
          <w:rFonts w:hint="eastAsia" w:cs="Times New Roman" w:asciiTheme="minorEastAsia" w:hAnsiTheme="minorEastAsia"/>
          <w:szCs w:val="21"/>
        </w:rPr>
        <w:t>）</w:t>
      </w:r>
      <w:r>
        <w:rPr>
          <w:rFonts w:cs="Times New Roman" w:asciiTheme="minorEastAsia" w:hAnsiTheme="minorEastAsia"/>
          <w:szCs w:val="21"/>
        </w:rPr>
        <w:t>专业协作与团队能力、执行能力--实践单位评价</w:t>
      </w:r>
    </w:p>
    <w:p>
      <w:pPr>
        <w:ind w:left="420" w:leftChars="200"/>
        <w:rPr>
          <w:rFonts w:cs="Times New Roman" w:asciiTheme="minorEastAsia" w:hAnsiTheme="minorEastAsia"/>
          <w:szCs w:val="21"/>
        </w:rPr>
      </w:pPr>
      <w:r>
        <w:rPr>
          <w:rFonts w:cs="Times New Roman" w:asciiTheme="minorEastAsia" w:hAnsiTheme="minorEastAsia"/>
          <w:szCs w:val="21"/>
        </w:rPr>
        <w:t>a.与单位领导、指导老师沟通顺畅、相处融洽（10%）</w:t>
      </w:r>
    </w:p>
    <w:p>
      <w:pPr>
        <w:ind w:left="420" w:leftChars="200"/>
        <w:rPr>
          <w:rFonts w:cs="Times New Roman" w:asciiTheme="minorEastAsia" w:hAnsiTheme="minorEastAsia"/>
          <w:szCs w:val="21"/>
        </w:rPr>
      </w:pPr>
      <w:r>
        <w:rPr>
          <w:rFonts w:cs="Times New Roman" w:asciiTheme="minorEastAsia" w:hAnsiTheme="minorEastAsia"/>
          <w:szCs w:val="21"/>
        </w:rPr>
        <w:t>b.与实习单位实习项目所涉人员配合密切，团队能力强（10%）</w:t>
      </w:r>
    </w:p>
    <w:p>
      <w:pPr>
        <w:ind w:left="420" w:leftChars="200"/>
        <w:rPr>
          <w:rFonts w:cs="Times New Roman" w:asciiTheme="minorEastAsia" w:hAnsiTheme="minorEastAsia"/>
          <w:szCs w:val="21"/>
        </w:rPr>
      </w:pPr>
      <w:r>
        <w:rPr>
          <w:rFonts w:cs="Times New Roman" w:asciiTheme="minorEastAsia" w:hAnsiTheme="minorEastAsia"/>
          <w:szCs w:val="21"/>
        </w:rPr>
        <w:t>c.实习过程中，单位评价其贯彻执行能力强，围绕具体的环境问题，动手解决问题能力强（10%）</w:t>
      </w:r>
    </w:p>
    <w:p>
      <w:pPr>
        <w:snapToGrid w:val="0"/>
        <w:spacing w:before="156" w:beforeLines="50" w:after="156" w:afterLines="50" w:line="320" w:lineRule="exact"/>
        <w:ind w:firstLine="420" w:firstLineChars="200"/>
        <w:rPr>
          <w:rFonts w:asciiTheme="minorEastAsia" w:hAnsiTheme="minorEastAsia"/>
          <w:color w:val="000000"/>
          <w:szCs w:val="21"/>
        </w:rPr>
      </w:pPr>
      <w:r>
        <w:rPr>
          <w:rFonts w:asciiTheme="minorEastAsia" w:hAnsiTheme="minorEastAsia"/>
          <w:color w:val="000000"/>
          <w:szCs w:val="21"/>
        </w:rPr>
        <w:t>（四）学位论文（成果）</w:t>
      </w:r>
    </w:p>
    <w:p>
      <w:pPr>
        <w:ind w:firstLine="420" w:firstLineChars="200"/>
        <w:rPr>
          <w:rFonts w:cs="Times New Roman" w:asciiTheme="minorEastAsia" w:hAnsiTheme="minorEastAsia"/>
          <w:szCs w:val="21"/>
        </w:rPr>
      </w:pPr>
      <w:r>
        <w:rPr>
          <w:rFonts w:hint="eastAsia" w:cs="Times New Roman" w:asciiTheme="minorEastAsia" w:hAnsiTheme="minorEastAsia"/>
          <w:szCs w:val="21"/>
        </w:rPr>
        <w:t>1</w:t>
      </w:r>
      <w:r>
        <w:rPr>
          <w:rFonts w:cs="Times New Roman" w:asciiTheme="minorEastAsia" w:hAnsiTheme="minorEastAsia"/>
          <w:szCs w:val="21"/>
        </w:rPr>
        <w:t>.</w:t>
      </w:r>
      <w:r>
        <w:rPr>
          <w:rFonts w:hint="eastAsia" w:cs="Times New Roman" w:asciiTheme="minorEastAsia" w:hAnsiTheme="minorEastAsia"/>
          <w:szCs w:val="21"/>
        </w:rPr>
        <w:t>论文基本要求与评价体系</w:t>
      </w:r>
    </w:p>
    <w:p>
      <w:pPr>
        <w:ind w:firstLine="420" w:firstLineChars="200"/>
        <w:rPr>
          <w:rFonts w:cs="Times New Roman" w:asciiTheme="minorEastAsia" w:hAnsiTheme="minorEastAsia"/>
          <w:szCs w:val="21"/>
        </w:rPr>
      </w:pPr>
      <w:r>
        <w:rPr>
          <w:rFonts w:hint="eastAsia" w:cs="Times New Roman" w:asciiTheme="minorEastAsia" w:hAnsiTheme="minorEastAsia"/>
          <w:szCs w:val="21"/>
        </w:rPr>
        <w:t>学位论文需</w:t>
      </w:r>
      <w:r>
        <w:rPr>
          <w:rFonts w:cs="Times New Roman" w:asciiTheme="minorEastAsia" w:hAnsiTheme="minorEastAsia"/>
          <w:szCs w:val="21"/>
        </w:rPr>
        <w:t>达到国家《085229环境工程领域工程硕士—专业学位基本要求》、上海市学位委员办公室公布的专业学位论文基本要求和评价指标体系以及</w:t>
      </w:r>
      <w:r>
        <w:rPr>
          <w:rFonts w:hint="eastAsia" w:cs="Times New Roman" w:asciiTheme="minorEastAsia" w:hAnsiTheme="minorEastAsia"/>
          <w:szCs w:val="21"/>
        </w:rPr>
        <w:t>《华东师范大学博士、硕士学位论文基本要求》</w:t>
      </w:r>
      <w:r>
        <w:rPr>
          <w:rFonts w:cs="Times New Roman" w:asciiTheme="minorEastAsia" w:hAnsiTheme="minorEastAsia"/>
          <w:szCs w:val="21"/>
        </w:rPr>
        <w:t>等文件中学位论文的相关要求。论文的形式可以以产品研发、工程设计、应用研究、调研报告、环境影响评价、清洁生产审核、环境规划与管理报告等形式呈现。</w:t>
      </w:r>
    </w:p>
    <w:p>
      <w:pPr>
        <w:ind w:firstLine="420" w:firstLineChars="200"/>
        <w:rPr>
          <w:rFonts w:cs="Times New Roman" w:asciiTheme="minorEastAsia" w:hAnsiTheme="minorEastAsia"/>
          <w:szCs w:val="21"/>
        </w:rPr>
      </w:pPr>
      <w:r>
        <w:rPr>
          <w:rFonts w:cs="Times New Roman" w:asciiTheme="minorEastAsia" w:hAnsiTheme="minorEastAsia"/>
          <w:szCs w:val="21"/>
        </w:rPr>
        <w:t>学生在完成课程学习和专业实践，各科成绩考试合格后，可转入论文工作阶段</w:t>
      </w:r>
      <w:r>
        <w:rPr>
          <w:rFonts w:hint="eastAsia" w:cs="Times New Roman" w:asciiTheme="minorEastAsia" w:hAnsiTheme="minorEastAsia"/>
          <w:szCs w:val="21"/>
        </w:rPr>
        <w:t>。</w:t>
      </w:r>
    </w:p>
    <w:p>
      <w:pPr>
        <w:ind w:firstLine="420" w:firstLineChars="200"/>
        <w:rPr>
          <w:rFonts w:cs="Times New Roman" w:asciiTheme="minorEastAsia" w:hAnsiTheme="minorEastAsia"/>
          <w:szCs w:val="21"/>
        </w:rPr>
      </w:pPr>
      <w:r>
        <w:rPr>
          <w:rFonts w:cs="Times New Roman" w:asciiTheme="minorEastAsia" w:hAnsiTheme="minorEastAsia"/>
          <w:szCs w:val="21"/>
        </w:rPr>
        <w:t>学位论文的选题应直接来源于企、事业单位的实际环境工程问题，具有明确的环境工程背景，具有一定的实际应用价值，拟解决的问题要有一定的技术难度和工作量，选题要具有一定的理论深度和创新性。</w:t>
      </w:r>
    </w:p>
    <w:p>
      <w:pPr>
        <w:ind w:firstLine="420" w:firstLineChars="200"/>
        <w:rPr>
          <w:rFonts w:cs="Times New Roman" w:asciiTheme="minorEastAsia" w:hAnsiTheme="minorEastAsia"/>
          <w:szCs w:val="21"/>
        </w:rPr>
      </w:pPr>
      <w:r>
        <w:rPr>
          <w:rFonts w:cs="Times New Roman" w:asciiTheme="minorEastAsia" w:hAnsiTheme="minorEastAsia"/>
          <w:szCs w:val="21"/>
        </w:rPr>
        <w:t>论文选题包括以下内容：</w:t>
      </w:r>
    </w:p>
    <w:p>
      <w:pPr>
        <w:ind w:firstLine="420" w:firstLineChars="2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1</w:t>
      </w:r>
      <w:r>
        <w:rPr>
          <w:rFonts w:hint="eastAsia" w:cs="Times New Roman" w:asciiTheme="minorEastAsia" w:hAnsiTheme="minorEastAsia"/>
          <w:szCs w:val="21"/>
        </w:rPr>
        <w:t>）</w:t>
      </w:r>
      <w:r>
        <w:rPr>
          <w:rFonts w:cs="Times New Roman" w:asciiTheme="minorEastAsia" w:hAnsiTheme="minorEastAsia"/>
          <w:szCs w:val="21"/>
        </w:rPr>
        <w:t>来源于环境工程领域生产实际的新产品研发、关键部件研发等；</w:t>
      </w:r>
    </w:p>
    <w:p>
      <w:pPr>
        <w:ind w:firstLine="420" w:firstLineChars="2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2</w:t>
      </w:r>
      <w:r>
        <w:rPr>
          <w:rFonts w:hint="eastAsia" w:cs="Times New Roman" w:asciiTheme="minorEastAsia" w:hAnsiTheme="minorEastAsia"/>
          <w:szCs w:val="21"/>
        </w:rPr>
        <w:t>）</w:t>
      </w:r>
      <w:r>
        <w:rPr>
          <w:rFonts w:cs="Times New Roman" w:asciiTheme="minorEastAsia" w:hAnsiTheme="minorEastAsia"/>
          <w:szCs w:val="21"/>
        </w:rPr>
        <w:t>来源于环境工程领域的工程设计需要；</w:t>
      </w:r>
    </w:p>
    <w:p>
      <w:pPr>
        <w:ind w:firstLine="420" w:firstLineChars="2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3</w:t>
      </w:r>
      <w:r>
        <w:rPr>
          <w:rFonts w:hint="eastAsia" w:cs="Times New Roman" w:asciiTheme="minorEastAsia" w:hAnsiTheme="minorEastAsia"/>
          <w:szCs w:val="21"/>
        </w:rPr>
        <w:t>）</w:t>
      </w:r>
      <w:r>
        <w:rPr>
          <w:rFonts w:cs="Times New Roman" w:asciiTheme="minorEastAsia" w:hAnsiTheme="minorEastAsia"/>
          <w:szCs w:val="21"/>
        </w:rPr>
        <w:t>来源于企事业单位相关实际环境工程或具有明确的环境工程应用背景，具有一定的社会价值或工程应用前景；</w:t>
      </w:r>
    </w:p>
    <w:p>
      <w:pPr>
        <w:ind w:firstLine="420" w:firstLineChars="2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4</w:t>
      </w:r>
      <w:r>
        <w:rPr>
          <w:rFonts w:hint="eastAsia" w:cs="Times New Roman" w:asciiTheme="minorEastAsia" w:hAnsiTheme="minorEastAsia"/>
          <w:szCs w:val="21"/>
        </w:rPr>
        <w:t>）</w:t>
      </w:r>
      <w:r>
        <w:rPr>
          <w:rFonts w:cs="Times New Roman" w:asciiTheme="minorEastAsia" w:hAnsiTheme="minorEastAsia"/>
          <w:szCs w:val="21"/>
        </w:rPr>
        <w:t>来源于实际需求，具有应用性导向，是企事业发展中相关环境工程急需解决的相关问题；</w:t>
      </w:r>
    </w:p>
    <w:p>
      <w:pPr>
        <w:ind w:firstLine="420" w:firstLineChars="2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5</w:t>
      </w:r>
      <w:r>
        <w:rPr>
          <w:rFonts w:hint="eastAsia" w:cs="Times New Roman" w:asciiTheme="minorEastAsia" w:hAnsiTheme="minorEastAsia"/>
          <w:szCs w:val="21"/>
        </w:rPr>
        <w:t>）</w:t>
      </w:r>
      <w:r>
        <w:rPr>
          <w:rFonts w:cs="Times New Roman" w:asciiTheme="minorEastAsia" w:hAnsiTheme="minorEastAsia"/>
          <w:szCs w:val="21"/>
        </w:rPr>
        <w:t>来源于企事业的环境影响评价、清洁生产审核、环境规划与管理等预研课题，具有一定的创新性。</w:t>
      </w:r>
    </w:p>
    <w:p>
      <w:pPr>
        <w:ind w:firstLine="420" w:firstLineChars="200"/>
        <w:rPr>
          <w:rFonts w:cs="Times New Roman" w:asciiTheme="minorEastAsia" w:hAnsiTheme="minorEastAsia"/>
          <w:szCs w:val="21"/>
        </w:rPr>
      </w:pPr>
      <w:r>
        <w:rPr>
          <w:rFonts w:cs="Times New Roman" w:asciiTheme="minorEastAsia" w:hAnsiTheme="minorEastAsia"/>
          <w:szCs w:val="21"/>
        </w:rPr>
        <w:t>2.论文开题</w:t>
      </w:r>
    </w:p>
    <w:p>
      <w:pPr>
        <w:ind w:firstLine="420" w:firstLineChars="200"/>
        <w:rPr>
          <w:rFonts w:cs="Times New Roman" w:asciiTheme="minorEastAsia" w:hAnsiTheme="minorEastAsia"/>
          <w:szCs w:val="21"/>
        </w:rPr>
      </w:pPr>
      <w:r>
        <w:rPr>
          <w:rFonts w:cs="Times New Roman" w:asciiTheme="minorEastAsia" w:hAnsiTheme="minorEastAsia"/>
          <w:szCs w:val="21"/>
        </w:rPr>
        <w:t>开题时间于第二学年结束前完成，学生在撰写论文前必须进行开题报告，在开题报告中递交完整的论文研究计划书(含选题的目的意义、学术价值或应用价值、研究目标内容、研究方法与技术路线、工作重点、难点及计划进度、预期效果、参考文献资料等)。必须经所在导师课题组答辩通过方可进行。</w:t>
      </w:r>
    </w:p>
    <w:p>
      <w:pPr>
        <w:ind w:firstLine="420" w:firstLineChars="200"/>
        <w:rPr>
          <w:rFonts w:cs="Times New Roman" w:asciiTheme="minorEastAsia" w:hAnsiTheme="minorEastAsia"/>
          <w:szCs w:val="21"/>
        </w:rPr>
      </w:pPr>
      <w:r>
        <w:rPr>
          <w:rFonts w:cs="Times New Roman" w:asciiTheme="minorEastAsia" w:hAnsiTheme="minorEastAsia"/>
          <w:szCs w:val="21"/>
        </w:rPr>
        <w:t>研究生在论文撰写过程中，必须在导师指导下独立完成；应至少每隔4周向导师或导师组成员报告撰写进度，与导师讨论并请其导师给予指导</w:t>
      </w:r>
      <w:r>
        <w:rPr>
          <w:rFonts w:hint="eastAsia" w:cs="Times New Roman" w:asciiTheme="minorEastAsia" w:hAnsiTheme="minorEastAsia"/>
          <w:szCs w:val="21"/>
        </w:rPr>
        <w:t>。</w:t>
      </w:r>
      <w:r>
        <w:rPr>
          <w:rFonts w:cs="Times New Roman" w:asciiTheme="minorEastAsia" w:hAnsiTheme="minorEastAsia"/>
          <w:szCs w:val="21"/>
        </w:rPr>
        <w:t>若选择在学校参与导师承担国家重大重点科技项目的研究工作，由学校指导教师具体负责论文撰写指导；若选择在企业开展研究工作，论文指导实行双导师制，选题、开题、答辩均需校、企导师共同参与并签署书面意见。</w:t>
      </w:r>
    </w:p>
    <w:p>
      <w:pPr>
        <w:ind w:firstLine="420" w:firstLineChars="200"/>
        <w:rPr>
          <w:rFonts w:cs="Times New Roman" w:asciiTheme="minorEastAsia" w:hAnsiTheme="minorEastAsia"/>
          <w:szCs w:val="21"/>
        </w:rPr>
      </w:pPr>
      <w:r>
        <w:rPr>
          <w:rFonts w:cs="Times New Roman" w:asciiTheme="minorEastAsia" w:hAnsiTheme="minorEastAsia"/>
          <w:szCs w:val="21"/>
        </w:rPr>
        <w:t>论文撰写规范，必须符合学校相关文论撰写格式及国家相关基本要求，具体要求见《华东师范大学硕士专业学位论文撰写基本要求》。</w:t>
      </w:r>
    </w:p>
    <w:p>
      <w:pPr>
        <w:ind w:firstLine="420" w:firstLineChars="200"/>
        <w:rPr>
          <w:rFonts w:cs="Times New Roman" w:asciiTheme="minorEastAsia" w:hAnsiTheme="minorEastAsia"/>
          <w:szCs w:val="21"/>
        </w:rPr>
      </w:pPr>
      <w:r>
        <w:rPr>
          <w:rFonts w:cs="Times New Roman" w:asciiTheme="minorEastAsia" w:hAnsiTheme="minorEastAsia"/>
          <w:szCs w:val="21"/>
        </w:rPr>
        <w:t>开题未通过者，可申请在3个月后进行第二次开题，第二次仍未通过者，按肄业处理。研究过程中，如论文课题出现重大变动的，需重新组织开题。 </w:t>
      </w:r>
    </w:p>
    <w:p>
      <w:pPr>
        <w:ind w:firstLine="420" w:firstLineChars="200"/>
        <w:rPr>
          <w:rFonts w:cs="Times New Roman" w:asciiTheme="minorEastAsia" w:hAnsiTheme="minorEastAsia"/>
          <w:szCs w:val="21"/>
        </w:rPr>
      </w:pPr>
      <w:r>
        <w:rPr>
          <w:rFonts w:cs="Times New Roman" w:asciiTheme="minorEastAsia" w:hAnsiTheme="minorEastAsia"/>
          <w:szCs w:val="21"/>
        </w:rPr>
        <w:t>3</w:t>
      </w:r>
      <w:r>
        <w:rPr>
          <w:rFonts w:hint="eastAsia" w:cs="Times New Roman" w:asciiTheme="minorEastAsia" w:hAnsiTheme="minorEastAsia"/>
          <w:szCs w:val="21"/>
        </w:rPr>
        <w:t>、开题报告评价与指标体系</w:t>
      </w:r>
    </w:p>
    <w:p>
      <w:pPr>
        <w:ind w:firstLine="210" w:firstLineChars="1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1</w:t>
      </w:r>
      <w:r>
        <w:rPr>
          <w:rFonts w:hint="eastAsia" w:cs="Times New Roman" w:asciiTheme="minorEastAsia" w:hAnsiTheme="minorEastAsia"/>
          <w:szCs w:val="21"/>
        </w:rPr>
        <w:t>）</w:t>
      </w:r>
      <w:r>
        <w:rPr>
          <w:rFonts w:cs="Times New Roman" w:asciiTheme="minorEastAsia" w:hAnsiTheme="minorEastAsia"/>
          <w:szCs w:val="21"/>
        </w:rPr>
        <w:t>选题</w:t>
      </w:r>
    </w:p>
    <w:p>
      <w:pPr>
        <w:ind w:left="420" w:leftChars="200"/>
        <w:rPr>
          <w:rFonts w:cs="Times New Roman" w:asciiTheme="minorEastAsia" w:hAnsiTheme="minorEastAsia"/>
          <w:szCs w:val="21"/>
        </w:rPr>
      </w:pPr>
      <w:r>
        <w:rPr>
          <w:rFonts w:hint="eastAsia" w:cs="Times New Roman" w:asciiTheme="minorEastAsia" w:hAnsiTheme="minorEastAsia"/>
          <w:szCs w:val="21"/>
        </w:rPr>
        <w:t>a</w:t>
      </w:r>
      <w:r>
        <w:rPr>
          <w:rFonts w:cs="Times New Roman" w:asciiTheme="minorEastAsia" w:hAnsiTheme="minorEastAsia"/>
          <w:szCs w:val="21"/>
        </w:rPr>
        <w:t>.选题背景：来源与本领域的工程实践或者需要解决的基础问题；属于工程范畴 （5%）</w:t>
      </w:r>
    </w:p>
    <w:p>
      <w:pPr>
        <w:ind w:left="420" w:leftChars="200"/>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.目的意义：目标明确、具有必要性，具有应用前景 （5%）</w:t>
      </w:r>
    </w:p>
    <w:p>
      <w:pPr>
        <w:ind w:firstLine="210" w:firstLineChars="1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2</w:t>
      </w:r>
      <w:r>
        <w:rPr>
          <w:rFonts w:hint="eastAsia" w:cs="Times New Roman" w:asciiTheme="minorEastAsia" w:hAnsiTheme="minorEastAsia"/>
          <w:szCs w:val="21"/>
        </w:rPr>
        <w:t>）</w:t>
      </w:r>
      <w:r>
        <w:rPr>
          <w:rFonts w:cs="Times New Roman" w:asciiTheme="minorEastAsia" w:hAnsiTheme="minorEastAsia"/>
          <w:szCs w:val="21"/>
        </w:rPr>
        <w:t>内容</w:t>
      </w:r>
    </w:p>
    <w:p>
      <w:pPr>
        <w:ind w:left="420" w:leftChars="200"/>
        <w:rPr>
          <w:rFonts w:cs="Times New Roman" w:asciiTheme="minorEastAsia" w:hAnsiTheme="minorEastAsia"/>
          <w:szCs w:val="21"/>
        </w:rPr>
      </w:pPr>
      <w:r>
        <w:rPr>
          <w:rFonts w:hint="eastAsia" w:cs="Times New Roman" w:asciiTheme="minorEastAsia" w:hAnsiTheme="minorEastAsia"/>
          <w:szCs w:val="21"/>
        </w:rPr>
        <w:t>a</w:t>
      </w:r>
      <w:r>
        <w:rPr>
          <w:rFonts w:cs="Times New Roman" w:asciiTheme="minorEastAsia" w:hAnsiTheme="minorEastAsia"/>
          <w:szCs w:val="21"/>
        </w:rPr>
        <w:t>.国内外相关研究进展与分析 ：文献全面、新颖；归纳总结客观、正确（5%） </w:t>
      </w:r>
    </w:p>
    <w:p>
      <w:pPr>
        <w:ind w:left="420" w:leftChars="200"/>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.研究内容的合理性与研究方法的科学性：基础原理正确；研究方法、手段新颖、合理、得当；采用新方法、工艺、材料等；结论明确 （30%）</w:t>
      </w:r>
    </w:p>
    <w:p>
      <w:pPr>
        <w:ind w:left="420" w:leftChars="200"/>
        <w:rPr>
          <w:rFonts w:cs="Times New Roman" w:asciiTheme="minorEastAsia" w:hAnsiTheme="minorEastAsia"/>
          <w:szCs w:val="21"/>
        </w:rPr>
      </w:pPr>
      <w:r>
        <w:rPr>
          <w:rFonts w:hint="eastAsia" w:cs="Times New Roman" w:asciiTheme="minorEastAsia" w:hAnsiTheme="minorEastAsia"/>
          <w:szCs w:val="21"/>
        </w:rPr>
        <w:t>c</w:t>
      </w:r>
      <w:r>
        <w:rPr>
          <w:rFonts w:cs="Times New Roman" w:asciiTheme="minorEastAsia" w:hAnsiTheme="minorEastAsia"/>
          <w:szCs w:val="21"/>
        </w:rPr>
        <w:t>.工作的难易程度与工作量 ：研究工作量饱满；研究具有一定的难度 （10%）</w:t>
      </w:r>
    </w:p>
    <w:p>
      <w:pPr>
        <w:ind w:firstLine="210" w:firstLineChars="1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3</w:t>
      </w:r>
      <w:r>
        <w:rPr>
          <w:rFonts w:hint="eastAsia" w:cs="Times New Roman" w:asciiTheme="minorEastAsia" w:hAnsiTheme="minorEastAsia"/>
          <w:szCs w:val="21"/>
        </w:rPr>
        <w:t>）</w:t>
      </w:r>
      <w:r>
        <w:rPr>
          <w:rFonts w:cs="Times New Roman" w:asciiTheme="minorEastAsia" w:hAnsiTheme="minorEastAsia"/>
          <w:szCs w:val="21"/>
        </w:rPr>
        <w:t>成果</w:t>
      </w:r>
    </w:p>
    <w:p>
      <w:pPr>
        <w:ind w:left="420" w:leftChars="200"/>
        <w:rPr>
          <w:rFonts w:cs="Times New Roman" w:asciiTheme="minorEastAsia" w:hAnsiTheme="minorEastAsia"/>
          <w:szCs w:val="21"/>
        </w:rPr>
      </w:pPr>
      <w:r>
        <w:rPr>
          <w:rFonts w:hint="eastAsia" w:cs="Times New Roman" w:asciiTheme="minorEastAsia" w:hAnsiTheme="minorEastAsia"/>
          <w:szCs w:val="21"/>
        </w:rPr>
        <w:t>a</w:t>
      </w:r>
      <w:r>
        <w:rPr>
          <w:rFonts w:cs="Times New Roman" w:asciiTheme="minorEastAsia" w:hAnsiTheme="minorEastAsia"/>
          <w:szCs w:val="21"/>
        </w:rPr>
        <w:t>.研究具有一定的理论或现实价值</w:t>
      </w:r>
      <w:r>
        <w:rPr>
          <w:rFonts w:hint="eastAsia" w:cs="Times New Roman" w:asciiTheme="minorEastAsia" w:hAnsiTheme="minorEastAsia"/>
          <w:szCs w:val="21"/>
        </w:rPr>
        <w:t>，</w:t>
      </w:r>
      <w:r>
        <w:rPr>
          <w:rFonts w:cs="Times New Roman" w:asciiTheme="minorEastAsia" w:hAnsiTheme="minorEastAsia"/>
          <w:szCs w:val="21"/>
        </w:rPr>
        <w:t>研究成果具有潜在的经济效益或社会效益（18%）</w:t>
      </w:r>
    </w:p>
    <w:p>
      <w:pPr>
        <w:ind w:left="420" w:leftChars="200"/>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.研究具有创造性 ：具有新思路、新见解、新工艺、新方法等 （12%）</w:t>
      </w:r>
    </w:p>
    <w:p>
      <w:pPr>
        <w:ind w:firstLine="210" w:firstLineChars="100"/>
        <w:rPr>
          <w:rFonts w:cs="Times New Roman" w:asciiTheme="minorEastAsia" w:hAnsiTheme="minorEastAsia"/>
          <w:szCs w:val="21"/>
        </w:rPr>
      </w:pPr>
      <w:r>
        <w:rPr>
          <w:rFonts w:hint="eastAsia" w:cs="Times New Roman" w:asciiTheme="minorEastAsia" w:hAnsiTheme="minorEastAsia"/>
          <w:szCs w:val="21"/>
        </w:rPr>
        <w:t>（</w:t>
      </w:r>
      <w:r>
        <w:rPr>
          <w:rFonts w:cs="Times New Roman" w:asciiTheme="minorEastAsia" w:hAnsiTheme="minorEastAsia"/>
          <w:szCs w:val="21"/>
        </w:rPr>
        <w:t>4</w:t>
      </w:r>
      <w:r>
        <w:rPr>
          <w:rFonts w:hint="eastAsia" w:cs="Times New Roman" w:asciiTheme="minorEastAsia" w:hAnsiTheme="minorEastAsia"/>
          <w:szCs w:val="21"/>
        </w:rPr>
        <w:t>）</w:t>
      </w:r>
      <w:r>
        <w:rPr>
          <w:rFonts w:cs="Times New Roman" w:asciiTheme="minorEastAsia" w:hAnsiTheme="minorEastAsia"/>
          <w:szCs w:val="21"/>
        </w:rPr>
        <w:t>写作</w:t>
      </w:r>
    </w:p>
    <w:p>
      <w:pPr>
        <w:ind w:left="420" w:leftChars="200"/>
        <w:rPr>
          <w:rFonts w:cs="Times New Roman" w:asciiTheme="minorEastAsia" w:hAnsiTheme="minorEastAsia"/>
          <w:szCs w:val="21"/>
        </w:rPr>
      </w:pPr>
      <w:r>
        <w:rPr>
          <w:rFonts w:hint="eastAsia" w:cs="Times New Roman" w:asciiTheme="minorEastAsia" w:hAnsiTheme="minorEastAsia"/>
          <w:szCs w:val="21"/>
        </w:rPr>
        <w:t>a</w:t>
      </w:r>
      <w:r>
        <w:rPr>
          <w:rFonts w:cs="Times New Roman" w:asciiTheme="minorEastAsia" w:hAnsiTheme="minorEastAsia"/>
          <w:szCs w:val="21"/>
        </w:rPr>
        <w:t>.摘要：表述简洁规范、能够反映研究工作的核心内容 （4%）</w:t>
      </w:r>
    </w:p>
    <w:p>
      <w:pPr>
        <w:ind w:left="420" w:leftChars="200"/>
        <w:rPr>
          <w:rFonts w:cs="Times New Roman" w:asciiTheme="minorEastAsia" w:hAnsiTheme="minorEastAsia"/>
          <w:szCs w:val="21"/>
        </w:rPr>
      </w:pPr>
      <w:r>
        <w:rPr>
          <w:rFonts w:hint="eastAsia" w:cs="Times New Roman" w:asciiTheme="minorEastAsia" w:hAnsiTheme="minorEastAsia"/>
          <w:szCs w:val="21"/>
        </w:rPr>
        <w:t>b</w:t>
      </w:r>
      <w:r>
        <w:rPr>
          <w:rFonts w:cs="Times New Roman" w:asciiTheme="minorEastAsia" w:hAnsiTheme="minorEastAsia"/>
          <w:szCs w:val="21"/>
        </w:rPr>
        <w:t>.文字论述：具有较强的系统性、逻辑性；文字表达清晰；图标、公式、技术文件等规范（8%） </w:t>
      </w:r>
    </w:p>
    <w:p>
      <w:pPr>
        <w:ind w:left="420" w:leftChars="200"/>
        <w:rPr>
          <w:rFonts w:cs="Times New Roman" w:asciiTheme="minorEastAsia" w:hAnsiTheme="minorEastAsia"/>
          <w:szCs w:val="21"/>
        </w:rPr>
      </w:pPr>
      <w:r>
        <w:rPr>
          <w:rFonts w:hint="eastAsia" w:cs="Times New Roman" w:asciiTheme="minorEastAsia" w:hAnsiTheme="minorEastAsia"/>
          <w:szCs w:val="21"/>
        </w:rPr>
        <w:t>c</w:t>
      </w:r>
      <w:r>
        <w:rPr>
          <w:rFonts w:cs="Times New Roman" w:asciiTheme="minorEastAsia" w:hAnsiTheme="minorEastAsia"/>
          <w:szCs w:val="21"/>
        </w:rPr>
        <w:t>.参考文献：引用文献真实性、权威性、规范性 （3%）</w:t>
      </w:r>
    </w:p>
    <w:p>
      <w:pPr>
        <w:ind w:firstLine="420" w:firstLineChars="200"/>
        <w:rPr>
          <w:rFonts w:cs="Times New Roman" w:asciiTheme="minorEastAsia" w:hAnsiTheme="minorEastAsia"/>
          <w:szCs w:val="21"/>
        </w:rPr>
      </w:pPr>
      <w:r>
        <w:t>开题未通过者，可申请在3个月后进行第二次开题，第二次仍未通过者，按肄业处理。研究过程中，如论文课题出现重大变动的，需重新组织开题。  </w:t>
      </w:r>
    </w:p>
    <w:p>
      <w:pPr>
        <w:ind w:firstLine="420" w:firstLineChars="200"/>
        <w:rPr>
          <w:rFonts w:cs="Times New Roman" w:asciiTheme="minorEastAsia" w:hAnsiTheme="minorEastAsia"/>
          <w:szCs w:val="21"/>
        </w:rPr>
      </w:pPr>
      <w:r>
        <w:rPr>
          <w:rFonts w:cs="Times New Roman" w:asciiTheme="minorEastAsia" w:hAnsiTheme="minorEastAsia"/>
          <w:szCs w:val="21"/>
        </w:rPr>
        <w:t>4.</w:t>
      </w:r>
      <w:r>
        <w:rPr>
          <w:rFonts w:hint="eastAsia" w:cs="Times New Roman" w:asciiTheme="minorEastAsia" w:hAnsiTheme="minorEastAsia"/>
          <w:szCs w:val="21"/>
        </w:rPr>
        <w:t>正式审查与答辩</w:t>
      </w:r>
    </w:p>
    <w:p>
      <w:pPr>
        <w:ind w:firstLine="420" w:firstLineChars="200"/>
        <w:rPr>
          <w:rFonts w:cs="Times New Roman" w:asciiTheme="minorEastAsia" w:hAnsiTheme="minorEastAsia"/>
          <w:szCs w:val="21"/>
        </w:rPr>
      </w:pPr>
      <w:r>
        <w:rPr>
          <w:rFonts w:cs="Times New Roman" w:asciiTheme="minorEastAsia" w:hAnsiTheme="minorEastAsia"/>
          <w:szCs w:val="21"/>
        </w:rPr>
        <w:t>学位论文由1位本领域或相近领域专家进行双盲评审，盲审论文按照以下原则进行抽取：（1）当前学期申请学位总人数的50%；（2）若该指导教师当年有2名及以上的毕业生则至少有1名学生的论文需进行双盲评审。</w:t>
      </w:r>
    </w:p>
    <w:p>
      <w:pPr>
        <w:ind w:firstLine="420" w:firstLineChars="200"/>
        <w:rPr>
          <w:rFonts w:cs="Times New Roman" w:asciiTheme="minorEastAsia" w:hAnsiTheme="minorEastAsia"/>
          <w:szCs w:val="21"/>
        </w:rPr>
      </w:pPr>
      <w:r>
        <w:rPr>
          <w:rFonts w:cs="Times New Roman" w:asciiTheme="minorEastAsia" w:hAnsiTheme="minorEastAsia"/>
          <w:szCs w:val="21"/>
        </w:rPr>
        <w:t>学位论文评阅人一般为2人，答辩委员会应由3 - 5 位与本领域相关的专家组成，其中至少包含一位企业内专家。</w:t>
      </w:r>
    </w:p>
    <w:p>
      <w:pPr>
        <w:ind w:firstLine="420" w:firstLineChars="200"/>
        <w:rPr>
          <w:rFonts w:cs="Times New Roman" w:asciiTheme="minorEastAsia" w:hAnsiTheme="minorEastAsia"/>
          <w:szCs w:val="21"/>
        </w:rPr>
      </w:pPr>
      <w:r>
        <w:rPr>
          <w:rFonts w:cs="Times New Roman" w:asciiTheme="minorEastAsia" w:hAnsiTheme="minorEastAsia"/>
          <w:szCs w:val="21"/>
        </w:rPr>
        <w:t>盲审、评阅结果按照《华东师范大学硕士专业学位论文答辩与学位申请实施办法》的相关规定执行。</w:t>
      </w:r>
    </w:p>
    <w:p>
      <w:pPr>
        <w:snapToGrid w:val="0"/>
        <w:spacing w:before="312" w:beforeLines="100" w:after="156" w:afterLines="50" w:line="320" w:lineRule="exact"/>
        <w:rPr>
          <w:rFonts w:ascii="黑体" w:hAnsi="黑体" w:eastAsia="黑体"/>
          <w:color w:val="000000"/>
          <w:sz w:val="24"/>
          <w:szCs w:val="24"/>
        </w:rPr>
      </w:pPr>
      <w:r>
        <w:rPr>
          <w:rFonts w:ascii="黑体" w:hAnsi="黑体" w:eastAsia="黑体"/>
          <w:color w:val="000000"/>
          <w:sz w:val="24"/>
          <w:szCs w:val="24"/>
        </w:rPr>
        <w:t>六、培养环节审核</w:t>
      </w:r>
    </w:p>
    <w:p>
      <w:pPr>
        <w:snapToGrid w:val="0"/>
        <w:spacing w:line="320" w:lineRule="exact"/>
        <w:ind w:firstLine="420"/>
        <w:rPr>
          <w:rFonts w:ascii="宋体" w:hAnsi="宋体" w:eastAsia="宋体"/>
          <w:color w:val="000000"/>
          <w:szCs w:val="21"/>
        </w:rPr>
      </w:pPr>
      <w:r>
        <w:rPr>
          <w:rFonts w:hint="eastAsia" w:ascii="宋体" w:hAnsi="宋体" w:eastAsia="宋体"/>
          <w:color w:val="000000"/>
          <w:szCs w:val="21"/>
        </w:rPr>
        <w:t>培养环节的审核</w:t>
      </w:r>
      <w:r>
        <w:rPr>
          <w:rFonts w:ascii="宋体" w:hAnsi="宋体" w:eastAsia="宋体"/>
          <w:color w:val="000000"/>
          <w:szCs w:val="21"/>
        </w:rPr>
        <w:t>包含</w:t>
      </w:r>
      <w:r>
        <w:fldChar w:fldCharType="begin"/>
      </w:r>
      <w:r>
        <w:instrText xml:space="preserve"> HYPERLINK \h </w:instrText>
      </w:r>
      <w:r>
        <w:fldChar w:fldCharType="separate"/>
      </w:r>
      <w:r>
        <w:rPr>
          <w:rFonts w:ascii="宋体" w:hAnsi="宋体" w:eastAsia="宋体"/>
          <w:color w:val="000000"/>
          <w:szCs w:val="21"/>
        </w:rPr>
        <w:t>学术规范测试、</w:t>
      </w:r>
      <w:r>
        <w:rPr>
          <w:rFonts w:ascii="宋体" w:hAnsi="宋体" w:eastAsia="宋体"/>
          <w:color w:val="000000"/>
          <w:szCs w:val="21"/>
        </w:rPr>
        <w:fldChar w:fldCharType="end"/>
      </w:r>
      <w:r>
        <w:rPr>
          <w:rFonts w:ascii="宋体" w:hAnsi="宋体" w:eastAsia="宋体"/>
          <w:color w:val="000000"/>
          <w:szCs w:val="21"/>
        </w:rPr>
        <w:t>课程审核、专业实践审核与学位论文开题审核</w:t>
      </w:r>
      <w:r>
        <w:fldChar w:fldCharType="begin"/>
      </w:r>
      <w:r>
        <w:instrText xml:space="preserve"> HYPERLINK \h </w:instrText>
      </w:r>
      <w:r>
        <w:fldChar w:fldCharType="separate"/>
      </w:r>
      <w:r>
        <w:rPr>
          <w:rFonts w:ascii="宋体" w:hAnsi="宋体" w:eastAsia="宋体"/>
          <w:color w:val="000000"/>
          <w:szCs w:val="21"/>
        </w:rPr>
        <w:t>四部分</w:t>
      </w:r>
      <w:r>
        <w:rPr>
          <w:rFonts w:ascii="宋体" w:hAnsi="宋体" w:eastAsia="宋体"/>
          <w:color w:val="000000"/>
          <w:szCs w:val="21"/>
        </w:rPr>
        <w:fldChar w:fldCharType="end"/>
      </w:r>
      <w:r>
        <w:rPr>
          <w:rFonts w:hint="eastAsia" w:ascii="宋体" w:hAnsi="宋体" w:eastAsia="宋体"/>
          <w:color w:val="000000"/>
          <w:szCs w:val="21"/>
        </w:rPr>
        <w:t>，最迟不得晚于</w:t>
      </w:r>
      <w:r>
        <w:rPr>
          <w:rFonts w:ascii="宋体" w:hAnsi="宋体" w:eastAsia="宋体"/>
          <w:color w:val="000000"/>
          <w:szCs w:val="21"/>
        </w:rPr>
        <w:t>第</w:t>
      </w:r>
      <w:r>
        <w:rPr>
          <w:rFonts w:hint="eastAsia" w:ascii="宋体" w:hAnsi="宋体" w:eastAsia="宋体"/>
          <w:color w:val="000000"/>
          <w:szCs w:val="21"/>
        </w:rPr>
        <w:t>五</w:t>
      </w:r>
      <w:r>
        <w:rPr>
          <w:rFonts w:ascii="宋体" w:hAnsi="宋体" w:eastAsia="宋体"/>
          <w:color w:val="000000"/>
          <w:szCs w:val="21"/>
        </w:rPr>
        <w:t>学期末</w:t>
      </w:r>
      <w:r>
        <w:rPr>
          <w:rFonts w:hint="eastAsia" w:ascii="宋体" w:hAnsi="宋体" w:eastAsia="宋体"/>
          <w:color w:val="000000"/>
          <w:szCs w:val="21"/>
        </w:rPr>
        <w:t>完成。</w:t>
      </w:r>
    </w:p>
    <w:p>
      <w:pPr>
        <w:snapToGrid w:val="0"/>
        <w:spacing w:line="320" w:lineRule="exact"/>
        <w:ind w:firstLine="420"/>
        <w:rPr>
          <w:rFonts w:ascii="宋体" w:hAnsi="宋体" w:eastAsia="宋体"/>
          <w:color w:val="000000"/>
          <w:szCs w:val="21"/>
        </w:rPr>
      </w:pPr>
      <w:r>
        <w:rPr>
          <w:rFonts w:ascii="宋体" w:hAnsi="宋体" w:eastAsia="宋体"/>
          <w:color w:val="000000"/>
          <w:szCs w:val="21"/>
        </w:rPr>
        <w:t>学术规范测试通过的条件：通过</w:t>
      </w:r>
      <w:r>
        <w:rPr>
          <w:rFonts w:hint="eastAsia" w:ascii="宋体" w:hAnsi="宋体" w:eastAsia="宋体"/>
          <w:color w:val="000000"/>
          <w:szCs w:val="21"/>
        </w:rPr>
        <w:t>培养系统测试</w:t>
      </w:r>
      <w:r>
        <w:rPr>
          <w:rFonts w:ascii="宋体" w:hAnsi="宋体" w:eastAsia="宋体"/>
          <w:color w:val="000000"/>
          <w:szCs w:val="21"/>
        </w:rPr>
        <w:t>。</w:t>
      </w:r>
    </w:p>
    <w:p>
      <w:pPr>
        <w:snapToGrid w:val="0"/>
        <w:spacing w:line="320" w:lineRule="exact"/>
        <w:ind w:firstLine="420"/>
        <w:rPr>
          <w:rFonts w:ascii="宋体" w:hAnsi="宋体" w:eastAsia="宋体"/>
          <w:color w:val="000000"/>
          <w:szCs w:val="21"/>
        </w:rPr>
      </w:pPr>
      <w:r>
        <w:rPr>
          <w:rFonts w:ascii="宋体" w:hAnsi="宋体" w:eastAsia="宋体"/>
          <w:color w:val="000000"/>
          <w:szCs w:val="21"/>
        </w:rPr>
        <w:t>课程审核通过的条件：完成培养方案规定的课程学习并通过考核、获得学分。</w:t>
      </w:r>
    </w:p>
    <w:p>
      <w:pPr>
        <w:snapToGrid w:val="0"/>
        <w:spacing w:line="320" w:lineRule="exact"/>
        <w:ind w:firstLine="420"/>
        <w:rPr>
          <w:rFonts w:ascii="宋体" w:hAnsi="宋体" w:eastAsia="宋体"/>
          <w:color w:val="000000"/>
          <w:szCs w:val="21"/>
        </w:rPr>
      </w:pPr>
      <w:r>
        <w:rPr>
          <w:rFonts w:ascii="宋体" w:hAnsi="宋体" w:eastAsia="宋体"/>
          <w:color w:val="000000"/>
          <w:szCs w:val="21"/>
        </w:rPr>
        <w:t>专业实践审核通过的条件：完成培养方案规定的专业实践工作并通过考核、获得学分。</w:t>
      </w:r>
    </w:p>
    <w:p>
      <w:pPr>
        <w:snapToGrid w:val="0"/>
        <w:spacing w:line="320" w:lineRule="exact"/>
        <w:ind w:firstLine="420"/>
        <w:rPr>
          <w:rFonts w:ascii="宋体" w:hAnsi="宋体" w:eastAsia="宋体"/>
          <w:color w:val="000000"/>
          <w:szCs w:val="21"/>
        </w:rPr>
      </w:pPr>
      <w:r>
        <w:rPr>
          <w:rFonts w:ascii="宋体" w:hAnsi="宋体" w:eastAsia="宋体"/>
          <w:color w:val="000000"/>
          <w:szCs w:val="21"/>
        </w:rPr>
        <w:t>学位论文开题审核通过的条件：通过培养单位组织的学位论文开题</w:t>
      </w:r>
      <w:r>
        <w:rPr>
          <w:rFonts w:hint="eastAsia" w:ascii="宋体" w:hAnsi="宋体" w:eastAsia="宋体"/>
          <w:color w:val="000000"/>
          <w:szCs w:val="21"/>
        </w:rPr>
        <w:t>报告答辩</w:t>
      </w:r>
      <w:r>
        <w:rPr>
          <w:rFonts w:ascii="宋体" w:hAnsi="宋体" w:eastAsia="宋体"/>
          <w:color w:val="000000"/>
          <w:szCs w:val="21"/>
        </w:rPr>
        <w:t>。</w:t>
      </w:r>
    </w:p>
    <w:p>
      <w:pPr>
        <w:snapToGrid w:val="0"/>
        <w:spacing w:line="320" w:lineRule="exact"/>
        <w:ind w:firstLine="420"/>
        <w:rPr>
          <w:rFonts w:ascii="宋体" w:hAnsi="宋体" w:eastAsia="宋体"/>
          <w:color w:val="000000"/>
          <w:szCs w:val="21"/>
        </w:rPr>
      </w:pPr>
      <w:r>
        <w:rPr>
          <w:rFonts w:ascii="宋体" w:hAnsi="宋体" w:eastAsia="宋体"/>
          <w:color w:val="000000"/>
          <w:szCs w:val="21"/>
        </w:rPr>
        <w:t>培养环节审核通过者，且完成学位论文的撰写工作，方可进入学位论文审查阶段。</w:t>
      </w:r>
    </w:p>
    <w:p>
      <w:pPr>
        <w:snapToGrid w:val="0"/>
        <w:spacing w:before="156" w:beforeLines="50" w:after="156" w:afterLines="50" w:line="320" w:lineRule="exact"/>
        <w:rPr>
          <w:rFonts w:ascii="黑体" w:hAnsi="黑体" w:eastAsia="黑体"/>
          <w:color w:val="000000"/>
          <w:sz w:val="24"/>
          <w:szCs w:val="24"/>
        </w:rPr>
      </w:pPr>
      <w:r>
        <w:rPr>
          <w:rFonts w:hint="eastAsia" w:ascii="黑体" w:hAnsi="黑体" w:eastAsia="黑体"/>
          <w:color w:val="000000"/>
          <w:sz w:val="24"/>
          <w:szCs w:val="24"/>
        </w:rPr>
        <w:t>七</w:t>
      </w:r>
      <w:r>
        <w:rPr>
          <w:rFonts w:ascii="黑体" w:hAnsi="黑体" w:eastAsia="黑体"/>
          <w:color w:val="000000"/>
          <w:sz w:val="24"/>
          <w:szCs w:val="24"/>
        </w:rPr>
        <w:t>、学位申请</w:t>
      </w:r>
    </w:p>
    <w:p>
      <w:pPr>
        <w:ind w:firstLine="420" w:firstLineChars="200"/>
        <w:rPr>
          <w:rFonts w:ascii="Times New Roman" w:hAnsi="Times New Roman" w:eastAsia="宋体" w:cs="Times New Roman"/>
          <w:szCs w:val="24"/>
        </w:rPr>
      </w:pPr>
      <w:r>
        <w:rPr>
          <w:rFonts w:ascii="Times New Roman" w:hAnsi="Times New Roman" w:eastAsia="宋体" w:cs="Times New Roman"/>
          <w:szCs w:val="24"/>
        </w:rPr>
        <w:t>研究生完成培养方案规定的课程学习、成绩合格，并通过论文答辩，符合学校学籍管理相关规定的，准予毕业并颁发硕士研究生毕业证书；经本专业学位评定小组审核、校专业学位评定分委员会审议通过，并经校学位评定委员会审批，授予</w:t>
      </w:r>
      <w:r>
        <w:rPr>
          <w:rFonts w:hint="eastAsia" w:ascii="Times New Roman" w:hAnsi="Times New Roman" w:eastAsia="宋体" w:cs="Times New Roman"/>
          <w:szCs w:val="24"/>
        </w:rPr>
        <w:t>资源与环境硕士</w:t>
      </w:r>
      <w:r>
        <w:rPr>
          <w:rFonts w:ascii="Times New Roman" w:hAnsi="Times New Roman" w:eastAsia="宋体" w:cs="Times New Roman"/>
          <w:szCs w:val="24"/>
        </w:rPr>
        <w:t>专业学位。</w:t>
      </w:r>
    </w:p>
    <w:p>
      <w:pPr>
        <w:snapToGrid w:val="0"/>
        <w:spacing w:before="60" w:after="60" w:line="312" w:lineRule="auto"/>
        <w:jc w:val="left"/>
        <w:rPr>
          <w:rFonts w:ascii="微软雅黑" w:hAnsi="微软雅黑" w:eastAsia="微软雅黑"/>
          <w:color w:val="333333"/>
          <w:sz w:val="22"/>
        </w:rPr>
      </w:pPr>
    </w:p>
    <w:sectPr>
      <w:footerReference r:id="rId3"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0217602"/>
      <w:docPartObj>
        <w:docPartGallery w:val="AutoText"/>
      </w:docPartObj>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225D6"/>
    <w:rsid w:val="000753DC"/>
    <w:rsid w:val="000A4057"/>
    <w:rsid w:val="000C216E"/>
    <w:rsid w:val="000C4A87"/>
    <w:rsid w:val="000C51B7"/>
    <w:rsid w:val="000C7A1B"/>
    <w:rsid w:val="000D4635"/>
    <w:rsid w:val="000D7528"/>
    <w:rsid w:val="000E336F"/>
    <w:rsid w:val="000F7B04"/>
    <w:rsid w:val="00165E8F"/>
    <w:rsid w:val="001825AE"/>
    <w:rsid w:val="001A355F"/>
    <w:rsid w:val="001A7BE7"/>
    <w:rsid w:val="001B160C"/>
    <w:rsid w:val="001B2982"/>
    <w:rsid w:val="001B5A42"/>
    <w:rsid w:val="001D7221"/>
    <w:rsid w:val="001D7BBF"/>
    <w:rsid w:val="001F1BC0"/>
    <w:rsid w:val="00216EB9"/>
    <w:rsid w:val="00233535"/>
    <w:rsid w:val="00264B2A"/>
    <w:rsid w:val="00286D39"/>
    <w:rsid w:val="00297C73"/>
    <w:rsid w:val="002B04A7"/>
    <w:rsid w:val="002D7994"/>
    <w:rsid w:val="002E57D4"/>
    <w:rsid w:val="002F037B"/>
    <w:rsid w:val="002F3384"/>
    <w:rsid w:val="002F356D"/>
    <w:rsid w:val="0031674A"/>
    <w:rsid w:val="00353443"/>
    <w:rsid w:val="00375741"/>
    <w:rsid w:val="003A6066"/>
    <w:rsid w:val="003A7D94"/>
    <w:rsid w:val="003B2D46"/>
    <w:rsid w:val="003B3899"/>
    <w:rsid w:val="003B6A3E"/>
    <w:rsid w:val="003C4E4B"/>
    <w:rsid w:val="003E5F9D"/>
    <w:rsid w:val="003E65BF"/>
    <w:rsid w:val="003F0419"/>
    <w:rsid w:val="003F1A47"/>
    <w:rsid w:val="00405807"/>
    <w:rsid w:val="00411CFE"/>
    <w:rsid w:val="004140C4"/>
    <w:rsid w:val="0041653E"/>
    <w:rsid w:val="0042518D"/>
    <w:rsid w:val="00456E7D"/>
    <w:rsid w:val="004802DB"/>
    <w:rsid w:val="004C1A3F"/>
    <w:rsid w:val="004D0649"/>
    <w:rsid w:val="005152AB"/>
    <w:rsid w:val="0051584F"/>
    <w:rsid w:val="00516214"/>
    <w:rsid w:val="005170A9"/>
    <w:rsid w:val="00550D49"/>
    <w:rsid w:val="005512CF"/>
    <w:rsid w:val="00562C28"/>
    <w:rsid w:val="0059531B"/>
    <w:rsid w:val="0059547F"/>
    <w:rsid w:val="005B7253"/>
    <w:rsid w:val="005E6DBD"/>
    <w:rsid w:val="005F1041"/>
    <w:rsid w:val="00611735"/>
    <w:rsid w:val="0061490B"/>
    <w:rsid w:val="00616505"/>
    <w:rsid w:val="0062213C"/>
    <w:rsid w:val="00633F40"/>
    <w:rsid w:val="00651E59"/>
    <w:rsid w:val="006549AD"/>
    <w:rsid w:val="00665A78"/>
    <w:rsid w:val="00684D9C"/>
    <w:rsid w:val="00693C53"/>
    <w:rsid w:val="006A5289"/>
    <w:rsid w:val="006D0C9F"/>
    <w:rsid w:val="006E78F9"/>
    <w:rsid w:val="006F089F"/>
    <w:rsid w:val="00713126"/>
    <w:rsid w:val="007138ED"/>
    <w:rsid w:val="007513D0"/>
    <w:rsid w:val="00762567"/>
    <w:rsid w:val="00776DF5"/>
    <w:rsid w:val="007E74A4"/>
    <w:rsid w:val="007F495A"/>
    <w:rsid w:val="0081560E"/>
    <w:rsid w:val="00822406"/>
    <w:rsid w:val="00841E55"/>
    <w:rsid w:val="00847130"/>
    <w:rsid w:val="00850677"/>
    <w:rsid w:val="008B1C5C"/>
    <w:rsid w:val="008B231C"/>
    <w:rsid w:val="008B6F8C"/>
    <w:rsid w:val="008C1386"/>
    <w:rsid w:val="008C4716"/>
    <w:rsid w:val="008D750D"/>
    <w:rsid w:val="008E313D"/>
    <w:rsid w:val="008E733D"/>
    <w:rsid w:val="008F51A9"/>
    <w:rsid w:val="00960BD2"/>
    <w:rsid w:val="009809FC"/>
    <w:rsid w:val="00980D06"/>
    <w:rsid w:val="0098333E"/>
    <w:rsid w:val="0098732C"/>
    <w:rsid w:val="009977A2"/>
    <w:rsid w:val="009A5766"/>
    <w:rsid w:val="009B2717"/>
    <w:rsid w:val="009C6CB0"/>
    <w:rsid w:val="009C7A39"/>
    <w:rsid w:val="009D0413"/>
    <w:rsid w:val="009D4A8F"/>
    <w:rsid w:val="009E126C"/>
    <w:rsid w:val="009E1818"/>
    <w:rsid w:val="009E4C5C"/>
    <w:rsid w:val="009F3633"/>
    <w:rsid w:val="009F5E1E"/>
    <w:rsid w:val="00A00E84"/>
    <w:rsid w:val="00A012EA"/>
    <w:rsid w:val="00A26566"/>
    <w:rsid w:val="00A52C69"/>
    <w:rsid w:val="00A60633"/>
    <w:rsid w:val="00A627D4"/>
    <w:rsid w:val="00A77961"/>
    <w:rsid w:val="00A80812"/>
    <w:rsid w:val="00A815AB"/>
    <w:rsid w:val="00A83A7B"/>
    <w:rsid w:val="00AA5388"/>
    <w:rsid w:val="00AB0AF6"/>
    <w:rsid w:val="00AC69BB"/>
    <w:rsid w:val="00AF49DF"/>
    <w:rsid w:val="00B05A69"/>
    <w:rsid w:val="00B24384"/>
    <w:rsid w:val="00B258FA"/>
    <w:rsid w:val="00B421F5"/>
    <w:rsid w:val="00B84F4D"/>
    <w:rsid w:val="00B86768"/>
    <w:rsid w:val="00B91535"/>
    <w:rsid w:val="00B92872"/>
    <w:rsid w:val="00BA0C1A"/>
    <w:rsid w:val="00BD517D"/>
    <w:rsid w:val="00BF05E6"/>
    <w:rsid w:val="00BF11A2"/>
    <w:rsid w:val="00BF7B38"/>
    <w:rsid w:val="00C01A54"/>
    <w:rsid w:val="00C061CB"/>
    <w:rsid w:val="00C342EF"/>
    <w:rsid w:val="00C4456C"/>
    <w:rsid w:val="00C55AA7"/>
    <w:rsid w:val="00C57723"/>
    <w:rsid w:val="00C604EC"/>
    <w:rsid w:val="00CC1859"/>
    <w:rsid w:val="00CC7F10"/>
    <w:rsid w:val="00CD03AC"/>
    <w:rsid w:val="00CD229F"/>
    <w:rsid w:val="00D10D03"/>
    <w:rsid w:val="00D24CDE"/>
    <w:rsid w:val="00D771CD"/>
    <w:rsid w:val="00D77EA1"/>
    <w:rsid w:val="00DA7434"/>
    <w:rsid w:val="00DC5ECE"/>
    <w:rsid w:val="00DF65F7"/>
    <w:rsid w:val="00DF728E"/>
    <w:rsid w:val="00E1204F"/>
    <w:rsid w:val="00E14220"/>
    <w:rsid w:val="00E2413D"/>
    <w:rsid w:val="00E26251"/>
    <w:rsid w:val="00E561DE"/>
    <w:rsid w:val="00E665C1"/>
    <w:rsid w:val="00E8538A"/>
    <w:rsid w:val="00EA1EE8"/>
    <w:rsid w:val="00EA7DCF"/>
    <w:rsid w:val="00ED25E8"/>
    <w:rsid w:val="00EE4C45"/>
    <w:rsid w:val="00EE5632"/>
    <w:rsid w:val="00F26C20"/>
    <w:rsid w:val="00F53662"/>
    <w:rsid w:val="00F84405"/>
    <w:rsid w:val="00F91D17"/>
    <w:rsid w:val="00FB2B02"/>
    <w:rsid w:val="00FB62A2"/>
    <w:rsid w:val="083D07F0"/>
    <w:rsid w:val="105E3B74"/>
    <w:rsid w:val="1C2C4424"/>
    <w:rsid w:val="1CD54CE6"/>
    <w:rsid w:val="1DEC38DC"/>
    <w:rsid w:val="30456175"/>
    <w:rsid w:val="36772279"/>
    <w:rsid w:val="434067C1"/>
    <w:rsid w:val="568D20C3"/>
    <w:rsid w:val="6EAF13B0"/>
    <w:rsid w:val="707D16E7"/>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semiHidden/>
    <w:unhideWhenUsed/>
    <w:qFormat/>
    <w:uiPriority w:val="99"/>
    <w:pPr>
      <w:snapToGrid w:val="0"/>
      <w:jc w:val="left"/>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semiHidden/>
    <w:unhideWhenUsed/>
    <w:qFormat/>
    <w:uiPriority w:val="99"/>
    <w:rPr>
      <w:vertAlign w:val="superscript"/>
    </w:rPr>
  </w:style>
  <w:style w:type="character" w:customStyle="1" w:styleId="10">
    <w:name w:val="页眉 字符"/>
    <w:basedOn w:val="8"/>
    <w:link w:val="4"/>
    <w:semiHidden/>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脚注文本 字符"/>
    <w:basedOn w:val="8"/>
    <w:link w:val="5"/>
    <w:semiHidden/>
    <w:qFormat/>
    <w:uiPriority w:val="99"/>
    <w:rPr>
      <w:kern w:val="2"/>
      <w:sz w:val="18"/>
      <w:szCs w:val="18"/>
    </w:rPr>
  </w:style>
  <w:style w:type="character" w:customStyle="1" w:styleId="14">
    <w:name w:val="ng-binding"/>
    <w:basedOn w:val="8"/>
    <w:qFormat/>
    <w:uiPriority w:val="0"/>
  </w:style>
  <w:style w:type="paragraph" w:customStyle="1" w:styleId="15">
    <w:name w:val="表"/>
    <w:basedOn w:val="1"/>
    <w:qFormat/>
    <w:uiPriority w:val="0"/>
    <w:pPr>
      <w:spacing w:line="0" w:lineRule="atLeast"/>
    </w:pPr>
    <w:rPr>
      <w:rFonts w:eastAsia="华文细黑" w:cs="华文细黑"/>
      <w:kern w:val="10"/>
      <w:sz w:val="18"/>
      <w:szCs w:val="21"/>
    </w:rPr>
  </w:style>
  <w:style w:type="character" w:customStyle="1" w:styleId="16">
    <w:name w:val="华文黑"/>
    <w:basedOn w:val="8"/>
    <w:qFormat/>
    <w:uiPriority w:val="0"/>
    <w:rPr>
      <w:rFonts w:ascii="等线" w:hAnsi="等线" w:eastAsia="华文细黑" w:cs="等线"/>
      <w:sz w:val="21"/>
      <w:szCs w:val="21"/>
    </w:rPr>
  </w:style>
  <w:style w:type="character" w:customStyle="1" w:styleId="17">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2BFC3C-CF6A-4B29-987D-3C8233FD71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1211</Words>
  <Characters>6903</Characters>
  <Lines>57</Lines>
  <Paragraphs>16</Paragraphs>
  <TotalTime>28</TotalTime>
  <ScaleCrop>false</ScaleCrop>
  <LinksUpToDate>false</LinksUpToDate>
  <CharactersWithSpaces>8098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2021-08-27T08:25:00Z</dcterms:created>
  <dc:creator>Tencent</dc:creator>
  <cp:lastModifiedBy>Y</cp:lastModifiedBy>
  <cp:lastPrinted>2021-07-14T02:39:00Z</cp:lastPrinted>
  <dcterms:modified xsi:type="dcterms:W3CDTF">2021-10-26T07:31:58Z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39398D8D0D5C43E3B26DA6D0E090860C</vt:lpwstr>
  </property>
</Properties>
</file>