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Cs w:val="21"/>
        </w:rPr>
      </w:pPr>
      <w:r>
        <w:rPr>
          <w:rFonts w:hint="eastAsia"/>
          <w:b/>
          <w:sz w:val="32"/>
          <w:szCs w:val="32"/>
        </w:rPr>
        <w:t>生态学一级学科</w:t>
      </w:r>
      <w:r>
        <w:rPr>
          <w:b/>
          <w:sz w:val="32"/>
          <w:szCs w:val="32"/>
        </w:rPr>
        <w:t>博士研究生培养方案</w:t>
      </w:r>
      <w:r>
        <w:rPr>
          <w:rFonts w:hint="eastAsia"/>
          <w:b/>
          <w:sz w:val="32"/>
          <w:szCs w:val="32"/>
        </w:rPr>
        <w:t>（0</w:t>
      </w:r>
      <w:r>
        <w:rPr>
          <w:b/>
          <w:sz w:val="32"/>
          <w:szCs w:val="32"/>
        </w:rPr>
        <w:t>713</w:t>
      </w:r>
      <w:r>
        <w:rPr>
          <w:rFonts w:hint="eastAsia"/>
          <w:b/>
          <w:sz w:val="32"/>
          <w:szCs w:val="32"/>
        </w:rPr>
        <w:t>）</w:t>
      </w:r>
    </w:p>
    <w:p>
      <w:pPr>
        <w:jc w:val="center"/>
        <w:rPr>
          <w:sz w:val="28"/>
          <w:szCs w:val="28"/>
        </w:rPr>
      </w:pPr>
      <w:r>
        <w:rPr>
          <w:rFonts w:hint="eastAsia"/>
          <w:sz w:val="28"/>
          <w:szCs w:val="28"/>
        </w:rPr>
        <w:t>生态与环境科学学院 河口海岸研究</w:t>
      </w:r>
      <w:bookmarkStart w:id="3" w:name="_GoBack"/>
      <w:bookmarkEnd w:id="3"/>
      <w:r>
        <w:rPr>
          <w:rFonts w:hint="eastAsia"/>
          <w:sz w:val="28"/>
          <w:szCs w:val="28"/>
        </w:rPr>
        <w:t>院 生命科学学院</w:t>
      </w:r>
    </w:p>
    <w:p>
      <w:pPr>
        <w:rPr>
          <w:rFonts w:ascii="黑体" w:hAnsi="黑体" w:eastAsia="黑体" w:cs="Times New Roman"/>
        </w:rPr>
      </w:pPr>
    </w:p>
    <w:p>
      <w:pPr>
        <w:spacing w:before="156" w:beforeLines="50" w:after="156" w:afterLines="50"/>
        <w:ind w:firstLine="480" w:firstLineChars="200"/>
        <w:rPr>
          <w:rFonts w:ascii="黑体" w:hAnsi="黑体" w:eastAsia="黑体" w:cs="Times New Roman"/>
        </w:rPr>
      </w:pPr>
      <w:r>
        <w:rPr>
          <w:rFonts w:hint="eastAsia" w:ascii="黑体" w:hAnsi="黑体" w:eastAsia="黑体" w:cs="Times New Roman"/>
        </w:rPr>
        <w:t>一、指导思想</w:t>
      </w:r>
    </w:p>
    <w:p>
      <w:pPr>
        <w:pStyle w:val="13"/>
        <w:spacing w:before="0" w:beforeAutospacing="0" w:after="0" w:afterAutospacing="0"/>
        <w:ind w:firstLine="420" w:firstLineChars="200"/>
        <w:jc w:val="both"/>
        <w:rPr>
          <w:sz w:val="21"/>
          <w:szCs w:val="21"/>
        </w:rPr>
      </w:pPr>
      <w:r>
        <w:rPr>
          <w:rFonts w:hint="eastAsia"/>
          <w:sz w:val="21"/>
          <w:szCs w:val="21"/>
        </w:rPr>
        <w:t>立足全球视野、定位世界一流，以立德树人、服务需求、提高质量、追求卓越为主线，</w:t>
      </w:r>
      <w:r>
        <w:rPr>
          <w:rFonts w:hint="eastAsia" w:cs="Times New Roman"/>
          <w:color w:val="000000"/>
          <w:sz w:val="21"/>
          <w:szCs w:val="21"/>
        </w:rPr>
        <w:t>以</w:t>
      </w:r>
      <w:r>
        <w:rPr>
          <w:rStyle w:val="42"/>
          <w:rFonts w:asciiTheme="minorEastAsia" w:hAnsiTheme="minorEastAsia" w:eastAsiaTheme="minorEastAsia"/>
        </w:rPr>
        <w:t>习近平新时代中国特色社会主义思想和党的十九大精神</w:t>
      </w:r>
      <w:r>
        <w:rPr>
          <w:rStyle w:val="42"/>
          <w:rFonts w:hint="eastAsia" w:asciiTheme="minorEastAsia" w:hAnsiTheme="minorEastAsia" w:eastAsiaTheme="minorEastAsia"/>
        </w:rPr>
        <w:t>以及</w:t>
      </w:r>
      <w:r>
        <w:rPr>
          <w:rFonts w:hint="eastAsia" w:cs="Times New Roman"/>
          <w:color w:val="000000"/>
          <w:sz w:val="21"/>
          <w:szCs w:val="21"/>
        </w:rPr>
        <w:t>“卓越育人、生态文明、绿色发展”为指导，</w:t>
      </w:r>
      <w:r>
        <w:rPr>
          <w:rStyle w:val="42"/>
          <w:rFonts w:asciiTheme="minorEastAsia" w:hAnsiTheme="minorEastAsia" w:eastAsiaTheme="minorEastAsia"/>
        </w:rPr>
        <w:t>全面贯彻党的教育方针，</w:t>
      </w:r>
      <w:r>
        <w:rPr>
          <w:rFonts w:hint="eastAsia"/>
          <w:sz w:val="21"/>
          <w:szCs w:val="21"/>
        </w:rPr>
        <w:t>瞄准世界科技发展最前沿，对接国家战略和社会发展需求，突出学科交叉，着力培养和造就德才兼备、具有批判性思维和创造性思维的卓越高层次人才。</w:t>
      </w:r>
    </w:p>
    <w:p>
      <w:pPr>
        <w:spacing w:before="156" w:beforeLines="50" w:after="156" w:afterLines="50"/>
        <w:ind w:firstLine="480" w:firstLineChars="200"/>
        <w:rPr>
          <w:rFonts w:cs="Times New Roman"/>
          <w:szCs w:val="21"/>
        </w:rPr>
      </w:pPr>
      <w:r>
        <w:rPr>
          <w:rFonts w:hint="eastAsia" w:ascii="黑体" w:hAnsi="黑体" w:eastAsia="黑体" w:cs="Times New Roman"/>
        </w:rPr>
        <w:t>二、培养目标</w:t>
      </w:r>
      <w:r>
        <w:rPr>
          <w:rFonts w:hint="eastAsia" w:cs="Times New Roman"/>
          <w:szCs w:val="21"/>
        </w:rPr>
        <w:t xml:space="preserve">  </w:t>
      </w:r>
    </w:p>
    <w:p>
      <w:pPr>
        <w:spacing w:before="156" w:beforeLines="50" w:after="156" w:afterLines="50"/>
        <w:ind w:firstLine="420" w:firstLineChars="200"/>
        <w:rPr>
          <w:rFonts w:ascii="黑体" w:hAnsi="黑体" w:eastAsia="黑体" w:cs="Times New Roman"/>
          <w:sz w:val="21"/>
          <w:szCs w:val="21"/>
        </w:rPr>
      </w:pPr>
      <w:r>
        <w:rPr>
          <w:rFonts w:ascii="黑体" w:hAnsi="黑体" w:eastAsia="黑体" w:cs="Times New Roman"/>
          <w:sz w:val="21"/>
          <w:szCs w:val="21"/>
        </w:rPr>
        <w:t>1.</w:t>
      </w:r>
      <w:r>
        <w:rPr>
          <w:rFonts w:hint="eastAsia" w:ascii="黑体" w:hAnsi="黑体" w:eastAsia="黑体" w:cs="Times New Roman"/>
          <w:sz w:val="21"/>
          <w:szCs w:val="21"/>
        </w:rPr>
        <w:t>人才的基本定位</w:t>
      </w:r>
    </w:p>
    <w:p>
      <w:pPr>
        <w:ind w:firstLine="420" w:firstLineChars="200"/>
        <w:jc w:val="both"/>
        <w:rPr>
          <w:rFonts w:cs="Times New Roman"/>
          <w:sz w:val="18"/>
          <w:szCs w:val="18"/>
        </w:rPr>
      </w:pPr>
      <w:r>
        <w:rPr>
          <w:rStyle w:val="42"/>
          <w:rFonts w:hint="eastAsia" w:ascii="宋体" w:hAnsi="宋体" w:eastAsia="宋体"/>
        </w:rPr>
        <w:t>培养面向国家和地方生态文明建设、适应新时代中国特色社会主义绿色发展需求、</w:t>
      </w:r>
      <w:r>
        <w:rPr>
          <w:rStyle w:val="42"/>
          <w:rFonts w:ascii="宋体" w:hAnsi="宋体" w:eastAsia="宋体"/>
        </w:rPr>
        <w:t>德才兼备的</w:t>
      </w:r>
      <w:r>
        <w:rPr>
          <w:rStyle w:val="42"/>
          <w:rFonts w:hint="eastAsia" w:ascii="宋体" w:hAnsi="宋体" w:eastAsia="宋体"/>
        </w:rPr>
        <w:t>生态学基础研究和应用基础研究</w:t>
      </w:r>
      <w:r>
        <w:rPr>
          <w:rStyle w:val="42"/>
          <w:rFonts w:ascii="宋体" w:hAnsi="宋体" w:eastAsia="宋体"/>
        </w:rPr>
        <w:t>高</w:t>
      </w:r>
      <w:r>
        <w:rPr>
          <w:rStyle w:val="42"/>
          <w:rFonts w:hint="eastAsia" w:ascii="宋体" w:hAnsi="宋体" w:eastAsia="宋体"/>
        </w:rPr>
        <w:t>层次创新</w:t>
      </w:r>
      <w:r>
        <w:rPr>
          <w:rStyle w:val="42"/>
          <w:rFonts w:ascii="宋体" w:hAnsi="宋体" w:eastAsia="宋体"/>
        </w:rPr>
        <w:t>人才</w:t>
      </w:r>
      <w:r>
        <w:rPr>
          <w:rStyle w:val="42"/>
          <w:rFonts w:hint="eastAsia" w:ascii="宋体" w:hAnsi="宋体" w:eastAsia="宋体"/>
        </w:rPr>
        <w:t>。</w:t>
      </w:r>
    </w:p>
    <w:p>
      <w:pPr>
        <w:spacing w:before="156" w:beforeLines="50" w:after="156" w:afterLines="50"/>
        <w:ind w:firstLine="420" w:firstLineChars="200"/>
        <w:rPr>
          <w:rFonts w:ascii="黑体" w:hAnsi="黑体" w:eastAsia="黑体" w:cs="Times New Roman"/>
          <w:sz w:val="21"/>
          <w:szCs w:val="21"/>
        </w:rPr>
      </w:pPr>
      <w:r>
        <w:rPr>
          <w:rFonts w:ascii="黑体" w:hAnsi="黑体" w:eastAsia="黑体" w:cs="Times New Roman"/>
          <w:sz w:val="21"/>
          <w:szCs w:val="21"/>
        </w:rPr>
        <w:t>2.</w:t>
      </w:r>
      <w:r>
        <w:rPr>
          <w:rFonts w:hint="eastAsia" w:ascii="黑体" w:hAnsi="黑体" w:eastAsia="黑体" w:cs="Times New Roman"/>
          <w:sz w:val="21"/>
          <w:szCs w:val="21"/>
        </w:rPr>
        <w:t>对毕业生综合素质的要求</w:t>
      </w:r>
    </w:p>
    <w:p>
      <w:pPr>
        <w:pStyle w:val="33"/>
        <w:numPr>
          <w:ilvl w:val="0"/>
          <w:numId w:val="1"/>
        </w:numPr>
        <w:spacing w:line="240" w:lineRule="auto"/>
        <w:ind w:firstLineChars="0"/>
        <w:rPr>
          <w:rStyle w:val="42"/>
          <w:rFonts w:ascii="宋体" w:hAnsi="宋体" w:eastAsia="宋体"/>
          <w:color w:val="auto"/>
        </w:rPr>
      </w:pPr>
      <w:r>
        <w:rPr>
          <w:rStyle w:val="42"/>
          <w:rFonts w:hint="eastAsia" w:ascii="宋体" w:hAnsi="宋体" w:eastAsia="宋体"/>
          <w:color w:val="auto"/>
        </w:rPr>
        <w:t>思想品德</w:t>
      </w:r>
    </w:p>
    <w:p>
      <w:pPr>
        <w:ind w:firstLine="420" w:firstLineChars="200"/>
        <w:jc w:val="both"/>
        <w:rPr>
          <w:rStyle w:val="42"/>
          <w:rFonts w:ascii="宋体" w:hAnsi="宋体" w:eastAsia="宋体"/>
        </w:rPr>
      </w:pPr>
      <w:r>
        <w:rPr>
          <w:rStyle w:val="42"/>
          <w:rFonts w:hint="eastAsia" w:ascii="宋体" w:hAnsi="宋体" w:eastAsia="宋体"/>
        </w:rPr>
        <w:t>掌握马克思主义基本原理、毛泽东思想、</w:t>
      </w:r>
      <w:r>
        <w:rPr>
          <w:rStyle w:val="42"/>
          <w:rFonts w:hint="eastAsia" w:ascii="Times New Roman" w:hAnsi="Times New Roman" w:cs="Times New Roman" w:eastAsiaTheme="minorEastAsia"/>
        </w:rPr>
        <w:t>邓小平理论、“三个代表”重要思想、科学发展观</w:t>
      </w:r>
      <w:r>
        <w:rPr>
          <w:rStyle w:val="42"/>
          <w:rFonts w:hint="eastAsia" w:ascii="宋体" w:hAnsi="宋体" w:eastAsia="宋体"/>
        </w:rPr>
        <w:t>和习近平新时代中国特色社会主义思想，热爱祖国，拥护中国共产党的领导，坚定“四个自信”，树立中国特色社会主义的伟大理想；具有正确的世界观、人生观和社会主义核心价值观，能积极为社会主义现代化建设服务。</w:t>
      </w:r>
    </w:p>
    <w:p>
      <w:pPr>
        <w:pStyle w:val="33"/>
        <w:numPr>
          <w:ilvl w:val="0"/>
          <w:numId w:val="1"/>
        </w:numPr>
        <w:spacing w:line="240" w:lineRule="auto"/>
        <w:ind w:firstLineChars="0"/>
        <w:rPr>
          <w:rStyle w:val="42"/>
          <w:rFonts w:ascii="宋体" w:hAnsi="宋体" w:eastAsia="宋体"/>
          <w:color w:val="auto"/>
        </w:rPr>
      </w:pPr>
      <w:r>
        <w:rPr>
          <w:rStyle w:val="42"/>
          <w:rFonts w:hint="eastAsia" w:ascii="宋体" w:hAnsi="宋体" w:eastAsia="宋体"/>
          <w:color w:val="auto"/>
        </w:rPr>
        <w:t>学术能力</w:t>
      </w:r>
    </w:p>
    <w:p>
      <w:pPr>
        <w:ind w:firstLine="420" w:firstLineChars="200"/>
        <w:jc w:val="both"/>
        <w:rPr>
          <w:rStyle w:val="42"/>
          <w:rFonts w:ascii="宋体" w:hAnsi="宋体" w:eastAsia="宋体"/>
        </w:rPr>
      </w:pPr>
      <w:r>
        <w:rPr>
          <w:rStyle w:val="42"/>
          <w:rFonts w:hint="eastAsia" w:ascii="宋体" w:hAnsi="宋体" w:eastAsia="宋体"/>
        </w:rPr>
        <w:t>掌握坚实广博的生态学及其相关学科基础理论知识和系统深入的专业知识，具备良好的学术创新能力；具备较宽的国际学术视野和较强的国际学术交流能力；具有良好的团队协作精神和一定的组织管理才能；毕业后能独立从事与生态学相关的原创性理论研究、应用和教学工作，能为生态文明建设、解决生态环境问题、可持续发展提供科学思想和技术服务。</w:t>
      </w:r>
    </w:p>
    <w:p>
      <w:pPr>
        <w:pStyle w:val="33"/>
        <w:numPr>
          <w:ilvl w:val="0"/>
          <w:numId w:val="1"/>
        </w:numPr>
        <w:spacing w:line="240" w:lineRule="auto"/>
        <w:ind w:firstLineChars="0"/>
        <w:rPr>
          <w:rStyle w:val="42"/>
          <w:rFonts w:ascii="宋体" w:hAnsi="宋体" w:eastAsia="宋体"/>
          <w:color w:val="auto"/>
        </w:rPr>
      </w:pPr>
      <w:r>
        <w:rPr>
          <w:rStyle w:val="42"/>
          <w:rFonts w:hint="eastAsia" w:ascii="宋体" w:hAnsi="宋体" w:eastAsia="宋体"/>
          <w:color w:val="auto"/>
        </w:rPr>
        <w:t>学术诚信</w:t>
      </w:r>
    </w:p>
    <w:p>
      <w:pPr>
        <w:ind w:firstLine="420" w:firstLineChars="200"/>
        <w:jc w:val="both"/>
        <w:rPr>
          <w:rFonts w:cs="等线"/>
          <w:sz w:val="21"/>
          <w:szCs w:val="21"/>
        </w:rPr>
      </w:pPr>
      <w:r>
        <w:rPr>
          <w:rStyle w:val="42"/>
          <w:rFonts w:hint="eastAsia" w:ascii="宋体" w:hAnsi="宋体" w:eastAsia="宋体"/>
        </w:rPr>
        <w:t>恪守学术道德、崇尚学术诚信，具有严谨的科研工作和勇攀科学高峰的钻研精神。</w:t>
      </w:r>
    </w:p>
    <w:p>
      <w:pPr>
        <w:spacing w:before="156" w:beforeLines="50" w:after="156" w:afterLines="50"/>
        <w:ind w:firstLine="420" w:firstLineChars="200"/>
        <w:rPr>
          <w:rFonts w:ascii="黑体" w:hAnsi="黑体" w:eastAsia="黑体" w:cs="Times New Roman"/>
          <w:sz w:val="21"/>
          <w:szCs w:val="21"/>
        </w:rPr>
      </w:pPr>
      <w:r>
        <w:rPr>
          <w:rFonts w:ascii="黑体" w:hAnsi="黑体" w:eastAsia="黑体" w:cs="Times New Roman"/>
          <w:sz w:val="21"/>
          <w:szCs w:val="21"/>
        </w:rPr>
        <w:t>3.</w:t>
      </w:r>
      <w:r>
        <w:rPr>
          <w:rFonts w:hint="eastAsia" w:ascii="黑体" w:hAnsi="黑体" w:eastAsia="黑体" w:cs="Times New Roman"/>
          <w:sz w:val="21"/>
          <w:szCs w:val="21"/>
        </w:rPr>
        <w:t>人才的培养特色</w:t>
      </w:r>
    </w:p>
    <w:p>
      <w:pPr>
        <w:ind w:firstLine="420" w:firstLineChars="200"/>
        <w:jc w:val="both"/>
        <w:rPr>
          <w:rStyle w:val="42"/>
          <w:rFonts w:ascii="宋体" w:hAnsi="宋体" w:eastAsia="宋体"/>
        </w:rPr>
      </w:pPr>
      <w:r>
        <w:rPr>
          <w:rStyle w:val="42"/>
          <w:rFonts w:ascii="宋体" w:hAnsi="宋体" w:eastAsia="宋体"/>
        </w:rPr>
        <w:t>我校生态学专业以为我国生态文明建设提供高层次人才保障</w:t>
      </w:r>
      <w:r>
        <w:rPr>
          <w:rStyle w:val="42"/>
          <w:rFonts w:hint="eastAsia" w:ascii="宋体" w:hAnsi="宋体" w:eastAsia="宋体"/>
        </w:rPr>
        <w:t>作</w:t>
      </w:r>
      <w:r>
        <w:rPr>
          <w:rStyle w:val="42"/>
          <w:rFonts w:ascii="宋体" w:hAnsi="宋体" w:eastAsia="宋体"/>
        </w:rPr>
        <w:t>为目标，</w:t>
      </w:r>
      <w:r>
        <w:rPr>
          <w:rStyle w:val="42"/>
          <w:rFonts w:hint="eastAsia" w:ascii="宋体" w:hAnsi="宋体" w:eastAsia="宋体"/>
        </w:rPr>
        <w:t>以研究生创新实践能力培养为核心，不断改革和创新人才培养模式。专业</w:t>
      </w:r>
      <w:r>
        <w:rPr>
          <w:rStyle w:val="42"/>
          <w:rFonts w:ascii="宋体" w:hAnsi="宋体" w:eastAsia="宋体"/>
        </w:rPr>
        <w:t>采取一系列措施为研究生提供学术训练机会，以提高研究生的科研实践与创新能力</w:t>
      </w:r>
      <w:r>
        <w:rPr>
          <w:rStyle w:val="42"/>
          <w:rFonts w:hint="eastAsia" w:ascii="宋体" w:hAnsi="宋体" w:eastAsia="宋体"/>
        </w:rPr>
        <w:t>。培养过程中注重学术交流能力的培养，</w:t>
      </w:r>
      <w:r>
        <w:rPr>
          <w:rStyle w:val="42"/>
          <w:rFonts w:ascii="宋体" w:hAnsi="宋体" w:eastAsia="宋体"/>
        </w:rPr>
        <w:t>定期开办关于研究方法、数据分析、科研论文写作等方面的培训课程。</w:t>
      </w:r>
      <w:r>
        <w:rPr>
          <w:rStyle w:val="42"/>
          <w:rFonts w:hint="eastAsia" w:ascii="宋体" w:hAnsi="宋体" w:eastAsia="宋体"/>
        </w:rPr>
        <w:t>在授课方式上，连续多年开设了特色鲜明的暑期学校，</w:t>
      </w:r>
      <w:r>
        <w:rPr>
          <w:rStyle w:val="42"/>
          <w:rFonts w:ascii="宋体" w:hAnsi="宋体" w:eastAsia="宋体"/>
        </w:rPr>
        <w:t>聘请</w:t>
      </w:r>
      <w:r>
        <w:rPr>
          <w:rStyle w:val="42"/>
          <w:rFonts w:hint="eastAsia" w:ascii="宋体" w:hAnsi="宋体" w:eastAsia="宋体"/>
        </w:rPr>
        <w:t>国内外</w:t>
      </w:r>
      <w:r>
        <w:rPr>
          <w:rStyle w:val="42"/>
          <w:rFonts w:ascii="宋体" w:hAnsi="宋体" w:eastAsia="宋体"/>
        </w:rPr>
        <w:t>知名生态学者，围绕生态学的理论</w:t>
      </w:r>
      <w:r>
        <w:rPr>
          <w:rStyle w:val="42"/>
          <w:rFonts w:hint="eastAsia" w:ascii="宋体" w:hAnsi="宋体" w:eastAsia="宋体"/>
        </w:rPr>
        <w:t>前沿、最新的研究方法技术及其</w:t>
      </w:r>
      <w:r>
        <w:rPr>
          <w:rStyle w:val="42"/>
          <w:rFonts w:ascii="宋体" w:hAnsi="宋体" w:eastAsia="宋体"/>
        </w:rPr>
        <w:t>应用实践，拓宽研究生的视野，拓展研究生的知识与能力</w:t>
      </w:r>
      <w:r>
        <w:rPr>
          <w:rStyle w:val="42"/>
          <w:rFonts w:hint="eastAsia" w:ascii="宋体" w:hAnsi="宋体" w:eastAsia="宋体"/>
        </w:rPr>
        <w:t>。定期</w:t>
      </w:r>
      <w:r>
        <w:rPr>
          <w:rStyle w:val="42"/>
          <w:rFonts w:ascii="宋体" w:hAnsi="宋体" w:eastAsia="宋体"/>
        </w:rPr>
        <w:t>举办</w:t>
      </w:r>
      <w:r>
        <w:rPr>
          <w:rStyle w:val="42"/>
          <w:rFonts w:hint="eastAsia" w:ascii="宋体" w:hAnsi="宋体" w:eastAsia="宋体"/>
        </w:rPr>
        <w:t>研究生为主要报告人的“</w:t>
      </w:r>
      <w:r>
        <w:rPr>
          <w:rStyle w:val="42"/>
          <w:rFonts w:ascii="宋体" w:hAnsi="宋体" w:eastAsia="宋体"/>
        </w:rPr>
        <w:t>光华研究生学术论坛</w:t>
      </w:r>
      <w:r>
        <w:rPr>
          <w:rStyle w:val="42"/>
          <w:rFonts w:hint="eastAsia" w:ascii="宋体" w:hAnsi="宋体" w:eastAsia="宋体"/>
        </w:rPr>
        <w:t>”</w:t>
      </w:r>
      <w:r>
        <w:rPr>
          <w:rStyle w:val="42"/>
          <w:rFonts w:ascii="宋体" w:hAnsi="宋体" w:eastAsia="宋体"/>
        </w:rPr>
        <w:t>，</w:t>
      </w:r>
      <w:r>
        <w:rPr>
          <w:rStyle w:val="42"/>
          <w:rFonts w:hint="eastAsia" w:ascii="宋体" w:hAnsi="宋体" w:eastAsia="宋体"/>
        </w:rPr>
        <w:t>培养</w:t>
      </w:r>
      <w:r>
        <w:rPr>
          <w:rStyle w:val="42"/>
          <w:rFonts w:ascii="宋体" w:hAnsi="宋体" w:eastAsia="宋体"/>
        </w:rPr>
        <w:t>学术交流能力。</w:t>
      </w:r>
      <w:r>
        <w:rPr>
          <w:rStyle w:val="42"/>
          <w:rFonts w:hint="eastAsia" w:ascii="宋体" w:hAnsi="宋体" w:eastAsia="宋体"/>
        </w:rPr>
        <w:t>通过</w:t>
      </w:r>
      <w:r>
        <w:rPr>
          <w:rStyle w:val="42"/>
          <w:rFonts w:ascii="宋体" w:hAnsi="宋体" w:eastAsia="宋体"/>
        </w:rPr>
        <w:t>《优秀博士生学术创新能力提升计划项目》、《未来科学家和优秀学者培育计划项目》等项目，培养研究生独立自主的科研能力。</w:t>
      </w:r>
      <w:r>
        <w:rPr>
          <w:rStyle w:val="42"/>
          <w:rFonts w:hint="eastAsia" w:ascii="宋体" w:hAnsi="宋体" w:eastAsia="宋体"/>
        </w:rPr>
        <w:t>注重提升研究生的国际化视野，通过国内外联合培养提高研究生培养质量，</w:t>
      </w:r>
      <w:r>
        <w:rPr>
          <w:rStyle w:val="42"/>
          <w:rFonts w:ascii="宋体" w:hAnsi="宋体" w:eastAsia="宋体"/>
        </w:rPr>
        <w:t>与国外知名大学如法国巴黎高师、英国利兹大学、德国内梅亨大学联合培养研究生，与加拿大阿尔伯塔大学建立生物多样性联合实验室</w:t>
      </w:r>
      <w:r>
        <w:rPr>
          <w:rStyle w:val="42"/>
          <w:rFonts w:hint="eastAsia" w:ascii="宋体" w:hAnsi="宋体" w:eastAsia="宋体"/>
        </w:rPr>
        <w:t>，并互派研究生访学。</w:t>
      </w:r>
    </w:p>
    <w:p>
      <w:pPr>
        <w:spacing w:before="156" w:beforeLines="50" w:after="156" w:afterLines="50"/>
        <w:ind w:firstLine="480" w:firstLineChars="200"/>
        <w:rPr>
          <w:rFonts w:ascii="黑体" w:hAnsi="黑体" w:eastAsia="黑体" w:cs="Times New Roman"/>
        </w:rPr>
      </w:pPr>
      <w:r>
        <w:rPr>
          <w:rFonts w:hint="eastAsia" w:ascii="黑体" w:hAnsi="黑体" w:eastAsia="黑体" w:cs="Times New Roman"/>
        </w:rPr>
        <w:t>三、研究方向</w:t>
      </w:r>
      <w:r>
        <w:rPr>
          <w:rFonts w:hint="eastAsia" w:cs="Times New Roman"/>
          <w:szCs w:val="21"/>
        </w:rPr>
        <w:t xml:space="preserve"> </w:t>
      </w:r>
    </w:p>
    <w:p>
      <w:pPr>
        <w:ind w:firstLine="420" w:firstLineChars="200"/>
        <w:rPr>
          <w:rStyle w:val="42"/>
          <w:rFonts w:ascii="Times New Roman" w:hAnsi="Times New Roman" w:eastAsia="宋体" w:cs="Times New Roman"/>
        </w:rPr>
      </w:pPr>
      <w:r>
        <w:rPr>
          <w:rStyle w:val="42"/>
          <w:rFonts w:ascii="Times New Roman" w:hAnsi="Times New Roman" w:eastAsia="宋体" w:cs="Times New Roman"/>
        </w:rPr>
        <w:t>1. 植物生态学</w:t>
      </w:r>
    </w:p>
    <w:p>
      <w:pPr>
        <w:ind w:firstLine="420" w:firstLineChars="200"/>
        <w:rPr>
          <w:rStyle w:val="42"/>
          <w:rFonts w:ascii="Times New Roman" w:hAnsi="Times New Roman" w:eastAsia="宋体" w:cs="Times New Roman"/>
        </w:rPr>
      </w:pPr>
      <w:r>
        <w:rPr>
          <w:rStyle w:val="42"/>
          <w:rFonts w:ascii="Times New Roman" w:hAnsi="Times New Roman" w:eastAsia="宋体" w:cs="Times New Roman"/>
        </w:rPr>
        <w:t>2. 动物生态学</w:t>
      </w:r>
    </w:p>
    <w:p>
      <w:pPr>
        <w:ind w:firstLine="420" w:firstLineChars="200"/>
        <w:rPr>
          <w:rStyle w:val="42"/>
          <w:rFonts w:ascii="Times New Roman" w:hAnsi="Times New Roman" w:eastAsia="宋体" w:cs="Times New Roman"/>
        </w:rPr>
      </w:pPr>
      <w:r>
        <w:rPr>
          <w:rStyle w:val="42"/>
          <w:rFonts w:ascii="Times New Roman" w:hAnsi="Times New Roman" w:eastAsia="宋体" w:cs="Times New Roman"/>
        </w:rPr>
        <w:t>3. 生态系统生态学</w:t>
      </w:r>
    </w:p>
    <w:p>
      <w:pPr>
        <w:ind w:firstLine="420" w:firstLineChars="200"/>
        <w:rPr>
          <w:rStyle w:val="42"/>
          <w:rFonts w:ascii="Times New Roman" w:hAnsi="Times New Roman" w:eastAsia="宋体" w:cs="Times New Roman"/>
        </w:rPr>
      </w:pPr>
      <w:r>
        <w:rPr>
          <w:rStyle w:val="42"/>
          <w:rFonts w:ascii="Times New Roman" w:hAnsi="Times New Roman" w:eastAsia="宋体" w:cs="Times New Roman"/>
        </w:rPr>
        <w:t>4. 修复生态学</w:t>
      </w:r>
    </w:p>
    <w:p>
      <w:pPr>
        <w:ind w:firstLine="420" w:firstLineChars="200"/>
        <w:rPr>
          <w:rStyle w:val="42"/>
          <w:rFonts w:ascii="Times New Roman" w:hAnsi="Times New Roman" w:eastAsia="宋体" w:cs="Times New Roman"/>
        </w:rPr>
      </w:pPr>
      <w:r>
        <w:rPr>
          <w:rStyle w:val="42"/>
          <w:rFonts w:ascii="Times New Roman" w:hAnsi="Times New Roman" w:eastAsia="宋体" w:cs="Times New Roman"/>
        </w:rPr>
        <w:t>5. 城市生态学</w:t>
      </w:r>
    </w:p>
    <w:p>
      <w:pPr>
        <w:spacing w:before="156" w:beforeLines="50" w:after="156" w:afterLines="50"/>
        <w:ind w:firstLine="480" w:firstLineChars="200"/>
        <w:rPr>
          <w:rFonts w:cs="Times New Roman"/>
          <w:szCs w:val="21"/>
        </w:rPr>
      </w:pPr>
      <w:r>
        <w:rPr>
          <w:rFonts w:hint="eastAsia" w:ascii="黑体" w:hAnsi="黑体" w:eastAsia="黑体" w:cs="Times New Roman"/>
        </w:rPr>
        <w:t>四、毕业与学位要求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spacing w:line="260" w:lineRule="exact"/>
              <w:rPr>
                <w:rFonts w:ascii="Times New Roman" w:hAnsi="Times New Roman" w:cs="Times New Roman"/>
                <w:b/>
                <w:szCs w:val="21"/>
              </w:rPr>
            </w:pPr>
            <w:r>
              <w:rPr>
                <w:rFonts w:hint="eastAsia" w:ascii="Times New Roman" w:hAnsi="Times New Roman" w:cs="Times New Roman"/>
                <w:b/>
                <w:szCs w:val="21"/>
              </w:rPr>
              <w:t>毕业与学位授予要求（一级指标）</w:t>
            </w:r>
          </w:p>
        </w:tc>
        <w:tc>
          <w:tcPr>
            <w:tcW w:w="7230" w:type="dxa"/>
          </w:tcPr>
          <w:p>
            <w:pPr>
              <w:spacing w:line="400" w:lineRule="exact"/>
              <w:rPr>
                <w:rFonts w:ascii="Times New Roman" w:hAnsi="Times New Roman" w:cs="Times New Roman"/>
                <w:b/>
                <w:szCs w:val="21"/>
              </w:rPr>
            </w:pPr>
            <w:r>
              <w:rPr>
                <w:rFonts w:hint="eastAsia" w:ascii="Times New Roman" w:hAnsi="Times New Roman" w:cs="Times New Roman"/>
                <w:b/>
                <w:szCs w:val="21"/>
              </w:rPr>
              <w:t>二级指标点（观测点）及其内涵阐述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restart"/>
          </w:tcPr>
          <w:p>
            <w:pPr>
              <w:spacing w:line="400" w:lineRule="exact"/>
              <w:rPr>
                <w:rFonts w:ascii="Times New Roman" w:hAnsi="Times New Roman" w:cs="Times New Roman"/>
                <w:sz w:val="21"/>
                <w:szCs w:val="21"/>
              </w:rPr>
            </w:pPr>
            <w:r>
              <w:rPr>
                <w:rFonts w:ascii="Times New Roman" w:hAnsi="Times New Roman" w:cs="Times New Roman"/>
                <w:sz w:val="21"/>
                <w:szCs w:val="21"/>
              </w:rPr>
              <w:t>1.家国情怀</w:t>
            </w:r>
          </w:p>
        </w:tc>
        <w:tc>
          <w:tcPr>
            <w:tcW w:w="7230" w:type="dxa"/>
          </w:tcPr>
          <w:p>
            <w:pPr>
              <w:rPr>
                <w:rFonts w:ascii="Times New Roman" w:hAnsi="Times New Roman" w:cs="Times New Roman"/>
                <w:sz w:val="21"/>
                <w:szCs w:val="21"/>
              </w:rPr>
            </w:pPr>
            <w:r>
              <w:rPr>
                <w:rFonts w:ascii="Times New Roman" w:hAnsi="Times New Roman" w:cs="Times New Roman"/>
                <w:sz w:val="21"/>
                <w:szCs w:val="21"/>
              </w:rPr>
              <w:t>1.1 国家认同：融汇贯通生态学专业知识</w:t>
            </w:r>
            <w:r>
              <w:rPr>
                <w:rFonts w:ascii="Times New Roman" w:hAnsi="Times New Roman" w:cs="Times New Roman"/>
                <w:sz w:val="21"/>
                <w:szCs w:val="21"/>
                <w:lang w:bidi="zh-CN"/>
              </w:rPr>
              <w:t>，实现全时空演化角度认识“四史”，认同新时代中国特色社会主义的价值观，自觉维护国家主权并落实到自身的研究中。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rPr>
                <w:rFonts w:ascii="Times New Roman" w:hAnsi="Times New Roman" w:cs="Times New Roman"/>
                <w:sz w:val="21"/>
                <w:szCs w:val="21"/>
              </w:rPr>
            </w:pPr>
            <w:r>
              <w:rPr>
                <w:rFonts w:ascii="Times New Roman" w:hAnsi="Times New Roman" w:cs="Times New Roman"/>
                <w:sz w:val="21"/>
                <w:szCs w:val="21"/>
              </w:rPr>
              <w:t>1.2 理想信念：</w:t>
            </w:r>
            <w:r>
              <w:rPr>
                <w:rFonts w:ascii="Times New Roman" w:hAnsi="Times New Roman" w:cs="Times New Roman"/>
                <w:sz w:val="21"/>
                <w:szCs w:val="21"/>
                <w:lang w:bidi="zh-CN"/>
              </w:rPr>
              <w:t>能从参与重要科学研究的项目中，树立科学报国之志和服务中华民族伟大复兴中国梦的信念。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rPr>
                <w:rFonts w:ascii="Times New Roman" w:hAnsi="Times New Roman" w:cs="Times New Roman"/>
                <w:sz w:val="21"/>
                <w:szCs w:val="21"/>
              </w:rPr>
            </w:pPr>
            <w:r>
              <w:rPr>
                <w:rFonts w:ascii="Times New Roman" w:hAnsi="Times New Roman" w:cs="Times New Roman"/>
                <w:sz w:val="21"/>
                <w:szCs w:val="21"/>
              </w:rPr>
              <w:t>1.3 立德树人: 坚持党的领导，全面贯彻党的教育方针，以新时代中国特色社会主义思想为指导，坚持把立德树人作为根本任务。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rPr>
                <w:rFonts w:ascii="Times New Roman" w:hAnsi="Times New Roman" w:cs="Times New Roman"/>
                <w:sz w:val="21"/>
                <w:szCs w:val="21"/>
              </w:rPr>
            </w:pPr>
            <w:r>
              <w:rPr>
                <w:rFonts w:ascii="Times New Roman" w:hAnsi="Times New Roman" w:cs="Times New Roman"/>
                <w:sz w:val="21"/>
                <w:szCs w:val="21"/>
              </w:rPr>
              <w:t>1.4 法治意识：</w:t>
            </w:r>
            <w:r>
              <w:rPr>
                <w:rFonts w:ascii="Times New Roman" w:hAnsi="Times New Roman" w:cs="Times New Roman"/>
                <w:sz w:val="21"/>
                <w:szCs w:val="21"/>
                <w:lang w:bidi="zh-CN"/>
              </w:rPr>
              <w:t>具有宪法法治意识，能梳理、发掘专业知识领域的法治环节。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restart"/>
          </w:tcPr>
          <w:p>
            <w:pPr>
              <w:spacing w:line="400" w:lineRule="exact"/>
              <w:rPr>
                <w:rFonts w:ascii="Times New Roman" w:hAnsi="Times New Roman" w:cs="Times New Roman"/>
                <w:sz w:val="21"/>
                <w:szCs w:val="21"/>
              </w:rPr>
            </w:pPr>
            <w:r>
              <w:rPr>
                <w:rFonts w:ascii="Times New Roman" w:hAnsi="Times New Roman" w:cs="Times New Roman"/>
                <w:sz w:val="21"/>
                <w:szCs w:val="21"/>
              </w:rPr>
              <w:t>2.学术能力</w:t>
            </w:r>
          </w:p>
        </w:tc>
        <w:tc>
          <w:tcPr>
            <w:tcW w:w="7230" w:type="dxa"/>
          </w:tcPr>
          <w:p>
            <w:pPr>
              <w:rPr>
                <w:rFonts w:ascii="Times New Roman" w:hAnsi="Times New Roman" w:cs="Times New Roman"/>
                <w:sz w:val="21"/>
                <w:szCs w:val="21"/>
              </w:rPr>
            </w:pPr>
            <w:r>
              <w:rPr>
                <w:rFonts w:ascii="Times New Roman" w:hAnsi="Times New Roman" w:cs="Times New Roman"/>
                <w:sz w:val="21"/>
                <w:szCs w:val="21"/>
              </w:rPr>
              <w:t xml:space="preserve">2.1 </w:t>
            </w:r>
            <w:r>
              <w:rPr>
                <w:rFonts w:ascii="Times New Roman" w:hAnsi="Times New Roman" w:cs="Times New Roman"/>
                <w:bCs/>
                <w:sz w:val="21"/>
                <w:szCs w:val="21"/>
                <w:lang w:bidi="zh-CN"/>
              </w:rPr>
              <w:t>科学求真</w:t>
            </w:r>
            <w:r>
              <w:rPr>
                <w:rFonts w:ascii="Times New Roman" w:hAnsi="Times New Roman" w:cs="Times New Roman"/>
                <w:b/>
                <w:sz w:val="21"/>
                <w:szCs w:val="21"/>
                <w:lang w:bidi="zh-CN"/>
              </w:rPr>
              <w:t>：</w:t>
            </w:r>
            <w:r>
              <w:rPr>
                <w:rFonts w:ascii="Times New Roman" w:hAnsi="Times New Roman" w:cs="Times New Roman"/>
                <w:sz w:val="21"/>
                <w:szCs w:val="21"/>
                <w:lang w:bidi="zh-CN"/>
              </w:rPr>
              <w:t>追求</w:t>
            </w:r>
            <w:r>
              <w:rPr>
                <w:rFonts w:ascii="Times New Roman" w:hAnsi="Times New Roman" w:cs="Times New Roman"/>
                <w:sz w:val="21"/>
                <w:szCs w:val="21"/>
              </w:rPr>
              <w:t>科学真理，具有求真务实的品质和严谨的科学态度，勤于钻研，勇攀高峰。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2.2 理论专精：具备系统深入的专业理论和广博的跨学科知识，具有敏锐感知学术前沿和发现新研究领域的能力。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2.3 学术创新：具备批判性思维和创新思维素养，能独立开展创新性学术研究，取得突破性成果，推动专业发展，促进专业应用。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restart"/>
          </w:tcPr>
          <w:p>
            <w:pPr>
              <w:spacing w:line="400" w:lineRule="exact"/>
              <w:rPr>
                <w:rFonts w:ascii="Times New Roman" w:hAnsi="Times New Roman" w:cs="Times New Roman"/>
                <w:sz w:val="21"/>
                <w:szCs w:val="21"/>
              </w:rPr>
            </w:pPr>
            <w:r>
              <w:rPr>
                <w:rFonts w:ascii="Times New Roman" w:hAnsi="Times New Roman" w:cs="Times New Roman"/>
                <w:sz w:val="21"/>
                <w:szCs w:val="21"/>
              </w:rPr>
              <w:t>3.团队协作</w:t>
            </w:r>
          </w:p>
        </w:tc>
        <w:tc>
          <w:tcPr>
            <w:tcW w:w="7230" w:type="dxa"/>
          </w:tcPr>
          <w:p>
            <w:pPr>
              <w:rPr>
                <w:rFonts w:ascii="Times New Roman" w:hAnsi="Times New Roman" w:cs="Times New Roman"/>
                <w:sz w:val="21"/>
                <w:szCs w:val="21"/>
              </w:rPr>
            </w:pPr>
            <w:r>
              <w:rPr>
                <w:rFonts w:ascii="Times New Roman" w:hAnsi="Times New Roman" w:cs="Times New Roman"/>
                <w:bCs/>
                <w:sz w:val="21"/>
                <w:szCs w:val="21"/>
                <w:lang w:bidi="zh-CN"/>
              </w:rPr>
              <w:t>3.1领袖气质：</w:t>
            </w:r>
            <w:r>
              <w:rPr>
                <w:rFonts w:ascii="Times New Roman" w:hAnsi="Times New Roman" w:cs="Times New Roman"/>
                <w:sz w:val="21"/>
                <w:szCs w:val="21"/>
                <w:lang w:bidi="zh-CN"/>
              </w:rPr>
              <w:t>具备领导组织团队协同攻关的能力，具备优秀的统筹、协调能力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3.2奉献精神：</w:t>
            </w:r>
            <w:r>
              <w:rPr>
                <w:rFonts w:ascii="Times New Roman" w:hAnsi="Times New Roman" w:cs="Times New Roman"/>
                <w:sz w:val="21"/>
                <w:szCs w:val="21"/>
                <w:lang w:bidi="zh-CN"/>
              </w:rPr>
              <w:t>具备为了团队整体目标实现敢于牺牲自身利益，勇挑重担的奉献精神。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restart"/>
          </w:tcPr>
          <w:p>
            <w:pPr>
              <w:spacing w:line="400" w:lineRule="exact"/>
              <w:rPr>
                <w:rFonts w:ascii="Times New Roman" w:hAnsi="Times New Roman" w:cs="Times New Roman"/>
                <w:sz w:val="21"/>
                <w:szCs w:val="21"/>
              </w:rPr>
            </w:pPr>
            <w:r>
              <w:rPr>
                <w:rFonts w:ascii="Times New Roman" w:hAnsi="Times New Roman" w:cs="Times New Roman"/>
                <w:sz w:val="21"/>
                <w:szCs w:val="21"/>
              </w:rPr>
              <w:t>4.国际视野</w:t>
            </w:r>
          </w:p>
        </w:tc>
        <w:tc>
          <w:tcPr>
            <w:tcW w:w="7230" w:type="dxa"/>
          </w:tcPr>
          <w:p>
            <w:pPr>
              <w:rPr>
                <w:rFonts w:ascii="Times New Roman" w:hAnsi="Times New Roman" w:cs="Times New Roman"/>
                <w:bCs/>
                <w:sz w:val="21"/>
                <w:szCs w:val="21"/>
                <w:lang w:bidi="zh-CN"/>
              </w:rPr>
            </w:pPr>
            <w:r>
              <w:rPr>
                <w:rFonts w:ascii="Times New Roman" w:hAnsi="Times New Roman" w:cs="Times New Roman"/>
                <w:bCs/>
                <w:sz w:val="21"/>
                <w:szCs w:val="21"/>
                <w:lang w:bidi="zh-CN"/>
              </w:rPr>
              <w:t>4.1国际视野：能在全球视野下认识我国自然与社会生态环境问题的特殊性、复杂性。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tcPr>
          <w:p>
            <w:pPr>
              <w:spacing w:line="400" w:lineRule="exact"/>
              <w:rPr>
                <w:rFonts w:ascii="Times New Roman" w:hAnsi="Times New Roman" w:cs="Times New Roman"/>
                <w:sz w:val="21"/>
                <w:szCs w:val="21"/>
              </w:rPr>
            </w:pPr>
          </w:p>
        </w:tc>
        <w:tc>
          <w:tcPr>
            <w:tcW w:w="7230" w:type="dxa"/>
          </w:tcPr>
          <w:p>
            <w:pPr>
              <w:spacing w:before="100" w:beforeAutospacing="1" w:after="100" w:afterAutospacing="1"/>
              <w:rPr>
                <w:rFonts w:ascii="Times New Roman" w:hAnsi="Times New Roman" w:cs="Times New Roman"/>
                <w:sz w:val="21"/>
                <w:szCs w:val="21"/>
              </w:rPr>
            </w:pPr>
            <w:r>
              <w:rPr>
                <w:rFonts w:ascii="Times New Roman" w:hAnsi="Times New Roman" w:cs="Times New Roman"/>
                <w:bCs/>
                <w:sz w:val="21"/>
                <w:szCs w:val="21"/>
                <w:lang w:bidi="zh-CN"/>
              </w:rPr>
              <w:t>4.2交流能力：了解国际学术前沿，主动参与国际学术会议，与国际学术权威顺畅交流。</w:t>
            </w:r>
          </w:p>
        </w:tc>
      </w:tr>
    </w:tbl>
    <w:p>
      <w:pPr>
        <w:spacing w:before="156" w:beforeLines="50" w:after="156" w:afterLines="50"/>
        <w:ind w:firstLine="480" w:firstLineChars="200"/>
        <w:rPr>
          <w:rFonts w:cs="Times New Roman"/>
          <w:szCs w:val="21"/>
        </w:rPr>
      </w:pPr>
      <w:r>
        <w:rPr>
          <w:rFonts w:hint="eastAsia" w:ascii="黑体" w:hAnsi="黑体" w:eastAsia="黑体" w:cs="Times New Roman"/>
        </w:rPr>
        <w:t>五</w:t>
      </w:r>
      <w:r>
        <w:rPr>
          <w:rFonts w:ascii="黑体" w:hAnsi="黑体" w:eastAsia="黑体" w:cs="Times New Roman"/>
        </w:rPr>
        <w:t>、</w:t>
      </w:r>
      <w:r>
        <w:rPr>
          <w:rFonts w:hint="eastAsia" w:ascii="黑体" w:hAnsi="黑体" w:eastAsia="黑体" w:cs="Times New Roman"/>
        </w:rPr>
        <w:t>学习年限与培养方式</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1.培养方式</w:t>
      </w:r>
    </w:p>
    <w:p>
      <w:pPr>
        <w:ind w:firstLine="420" w:firstLineChars="200"/>
        <w:jc w:val="both"/>
        <w:rPr>
          <w:rFonts w:cs="Times New Roman"/>
          <w:sz w:val="21"/>
          <w:szCs w:val="21"/>
        </w:rPr>
      </w:pPr>
      <w:r>
        <w:rPr>
          <w:rFonts w:cs="Times New Roman"/>
          <w:sz w:val="21"/>
          <w:szCs w:val="21"/>
        </w:rPr>
        <w:t>博士研究生的培养实行导师指导和指导小组集体培养相结合；鼓励、支持和推动跨学科、跨专业的培养方式，在需要和可能的前提下，也可采取和国内外同行学者或学术单位联合培养的方式。</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2.学习年限</w:t>
      </w:r>
    </w:p>
    <w:p>
      <w:pPr>
        <w:ind w:firstLine="420" w:firstLineChars="200"/>
        <w:jc w:val="both"/>
        <w:rPr>
          <w:rFonts w:cs="Times New Roman"/>
          <w:sz w:val="21"/>
          <w:szCs w:val="21"/>
        </w:rPr>
      </w:pPr>
      <w:r>
        <w:rPr>
          <w:rFonts w:cs="Times New Roman"/>
          <w:sz w:val="21"/>
          <w:szCs w:val="21"/>
        </w:rPr>
        <w:t>普通博士研究生</w:t>
      </w:r>
      <w:r>
        <w:rPr>
          <w:rFonts w:hint="eastAsia" w:cs="Times New Roman"/>
          <w:sz w:val="21"/>
          <w:szCs w:val="21"/>
        </w:rPr>
        <w:t>（以下简称普博生）</w:t>
      </w:r>
      <w:r>
        <w:rPr>
          <w:rFonts w:cs="Times New Roman"/>
          <w:sz w:val="21"/>
          <w:szCs w:val="21"/>
        </w:rPr>
        <w:t>基本学习年限为4年，最长学习年限为6年。</w:t>
      </w:r>
    </w:p>
    <w:p>
      <w:pPr>
        <w:ind w:firstLine="420" w:firstLineChars="200"/>
        <w:jc w:val="both"/>
        <w:rPr>
          <w:rFonts w:cs="Times New Roman"/>
          <w:sz w:val="21"/>
          <w:szCs w:val="21"/>
        </w:rPr>
      </w:pPr>
      <w:r>
        <w:rPr>
          <w:rFonts w:cs="Times New Roman"/>
          <w:sz w:val="21"/>
          <w:szCs w:val="21"/>
        </w:rPr>
        <w:t>硕博连读研究生</w:t>
      </w:r>
      <w:r>
        <w:rPr>
          <w:rFonts w:hint="eastAsia" w:cs="Times New Roman"/>
          <w:sz w:val="21"/>
          <w:szCs w:val="21"/>
        </w:rPr>
        <w:t>（以下简称硕博生）</w:t>
      </w:r>
      <w:r>
        <w:rPr>
          <w:rFonts w:cs="Times New Roman"/>
          <w:sz w:val="21"/>
          <w:szCs w:val="21"/>
        </w:rPr>
        <w:t>基本学习年限</w:t>
      </w:r>
      <w:r>
        <w:rPr>
          <w:rFonts w:hint="eastAsia" w:cs="Times New Roman"/>
          <w:sz w:val="21"/>
          <w:szCs w:val="21"/>
        </w:rPr>
        <w:t>为</w:t>
      </w:r>
      <w:r>
        <w:rPr>
          <w:rFonts w:cs="Times New Roman"/>
          <w:sz w:val="21"/>
          <w:szCs w:val="21"/>
        </w:rPr>
        <w:t>6</w:t>
      </w:r>
      <w:r>
        <w:rPr>
          <w:rFonts w:hint="eastAsia" w:cs="Times New Roman"/>
          <w:sz w:val="21"/>
          <w:szCs w:val="21"/>
        </w:rPr>
        <w:t>年</w:t>
      </w:r>
      <w:r>
        <w:rPr>
          <w:rFonts w:cs="Times New Roman"/>
          <w:sz w:val="21"/>
          <w:szCs w:val="21"/>
        </w:rPr>
        <w:t>，最长学习年限为7年。</w:t>
      </w:r>
    </w:p>
    <w:p>
      <w:pPr>
        <w:ind w:firstLine="420" w:firstLineChars="200"/>
        <w:jc w:val="both"/>
        <w:rPr>
          <w:rFonts w:cs="Times New Roman"/>
          <w:sz w:val="21"/>
          <w:szCs w:val="21"/>
        </w:rPr>
      </w:pPr>
      <w:r>
        <w:rPr>
          <w:rFonts w:cs="Times New Roman"/>
          <w:sz w:val="21"/>
          <w:szCs w:val="21"/>
        </w:rPr>
        <w:t>本科直博研究生</w:t>
      </w:r>
      <w:r>
        <w:rPr>
          <w:rFonts w:hint="eastAsia" w:cs="Times New Roman"/>
          <w:sz w:val="21"/>
          <w:szCs w:val="21"/>
        </w:rPr>
        <w:t>（以下简称直博生）</w:t>
      </w:r>
      <w:r>
        <w:rPr>
          <w:rFonts w:cs="Times New Roman"/>
          <w:sz w:val="21"/>
          <w:szCs w:val="21"/>
        </w:rPr>
        <w:t>基本学习年限为5年，最长学习年限为7年。</w:t>
      </w:r>
    </w:p>
    <w:p>
      <w:pPr>
        <w:ind w:firstLine="420" w:firstLineChars="200"/>
        <w:jc w:val="both"/>
        <w:rPr>
          <w:rFonts w:cs="Times New Roman"/>
          <w:sz w:val="21"/>
          <w:szCs w:val="21"/>
        </w:rPr>
      </w:pPr>
      <w:r>
        <w:rPr>
          <w:rFonts w:hint="eastAsia" w:cs="Times New Roman"/>
          <w:sz w:val="21"/>
          <w:szCs w:val="21"/>
        </w:rPr>
        <w:t>鼓励达到本学科培养方案要求的博士生，经导师同意，申请提前毕业。</w:t>
      </w:r>
    </w:p>
    <w:p>
      <w:pPr>
        <w:spacing w:before="156" w:beforeLines="50" w:after="156" w:afterLines="50"/>
        <w:ind w:firstLine="480" w:firstLineChars="200"/>
        <w:rPr>
          <w:rFonts w:cs="Times New Roman"/>
          <w:szCs w:val="21"/>
        </w:rPr>
      </w:pPr>
      <w:r>
        <w:rPr>
          <w:rFonts w:hint="eastAsia" w:ascii="黑体" w:hAnsi="黑体" w:eastAsia="黑体" w:cs="Times New Roman"/>
        </w:rPr>
        <w:t>六、课程体系及学分要求</w:t>
      </w:r>
      <w:r>
        <w:rPr>
          <w:rFonts w:hint="eastAsia" w:cs="Times New Roman"/>
          <w:szCs w:val="21"/>
        </w:rPr>
        <w:t xml:space="preserve"> </w:t>
      </w:r>
    </w:p>
    <w:p>
      <w:pPr>
        <w:spacing w:before="156" w:beforeLines="50" w:after="156" w:afterLines="50"/>
        <w:ind w:firstLine="420" w:firstLineChars="200"/>
        <w:rPr>
          <w:rFonts w:ascii="黑体" w:hAnsi="黑体" w:eastAsia="黑体" w:cs="Times New Roman"/>
          <w:sz w:val="21"/>
          <w:szCs w:val="21"/>
        </w:rPr>
      </w:pPr>
      <w:r>
        <w:rPr>
          <w:rFonts w:ascii="黑体" w:hAnsi="黑体" w:eastAsia="黑体" w:cs="Times New Roman"/>
          <w:sz w:val="21"/>
          <w:szCs w:val="21"/>
        </w:rPr>
        <w:t>1</w:t>
      </w:r>
      <w:r>
        <w:rPr>
          <w:rFonts w:hint="eastAsia" w:ascii="黑体" w:hAnsi="黑体" w:eastAsia="黑体" w:cs="Times New Roman"/>
          <w:sz w:val="21"/>
          <w:szCs w:val="21"/>
        </w:rPr>
        <w:t>.学分要求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（1）普通博士研究生修读总学分： 15 。各类别学分要求如下：</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学位公共课（必修） 5 学分，学位基础课与学位专业课（必修）不少于 4 学分，学位专业课（选修）不少于 2 学分，跨一级学科课程不少于 2 学分。</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（2）硕博连读研究生修读总学分： 25 。各类别学分要求如下：</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学位公共课（必修） 6 学分，</w:t>
      </w:r>
      <w:bookmarkStart w:id="0" w:name="_Hlk35000029"/>
      <w:r>
        <w:rPr>
          <w:rFonts w:ascii="Times New Roman" w:hAnsi="Times New Roman" w:cs="Times New Roman"/>
          <w:sz w:val="21"/>
          <w:szCs w:val="21"/>
        </w:rPr>
        <w:t>学位公共课（选修） 2 学分，学位基础课不少于 4 学分，</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学位专业课（必修）不少于 5 学分，学位专业课（选修）不少于 4 学分，跨一级学科课程不少于 2 学分。</w:t>
      </w:r>
      <w:bookmarkEnd w:id="0"/>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（3）本科直博研究生修读总学分： 24 。各类别学分要求如下：</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学位公共课（必修） 5 学分，学位公共课（选修） 2 学分，学位基础课不少于 4 学分，学位专业课（必修）不少于 5 学分，学位专业课（选修）不少于 4 学分，跨一级学科课程不少于 2 学分。</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（4）补修课程要求：跨学科入学的研究生，应当在导师指导下补修本学科硕士研究生或本科专业的有关课程，所得学分记为非学位课程学分，不计入培养方案总学分。</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（5）港澳台博士生可免修学位公共必修课《中国马克思主义与当代》，代之以修读《中国概况》。</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6）国际留学博士生可免修学位公共必修课《中国马克思主义与当代》、《第一外国语》，代之以修读《中国概况》或《中国文明导论》和汉语课程等有关课程。以外语为专业教学语言的学科、专业的留学生毕业时，中文能力应当至少达到《国际汉语能力标准》三级水平。</w:t>
      </w:r>
    </w:p>
    <w:p>
      <w:pPr>
        <w:spacing w:before="156" w:beforeLines="50" w:after="156" w:afterLines="50"/>
        <w:ind w:firstLine="420" w:firstLineChars="200"/>
        <w:rPr>
          <w:rFonts w:cs="Times New Roman"/>
          <w:b/>
          <w:sz w:val="21"/>
          <w:szCs w:val="21"/>
        </w:rPr>
      </w:pPr>
      <w:r>
        <w:rPr>
          <w:rFonts w:ascii="黑体" w:hAnsi="黑体" w:eastAsia="黑体" w:cs="Times New Roman"/>
          <w:sz w:val="21"/>
          <w:szCs w:val="21"/>
        </w:rPr>
        <w:t>2.</w:t>
      </w:r>
      <w:r>
        <w:rPr>
          <w:rFonts w:hint="eastAsia" w:ascii="黑体" w:hAnsi="黑体" w:eastAsia="黑体" w:cs="Times New Roman"/>
          <w:sz w:val="21"/>
          <w:szCs w:val="21"/>
        </w:rPr>
        <w:t>课程体系</w:t>
      </w:r>
    </w:p>
    <w:tbl>
      <w:tblPr>
        <w:tblStyle w:val="15"/>
        <w:tblW w:w="9923" w:type="dxa"/>
        <w:jc w:val="center"/>
        <w:tblLayout w:type="fixed"/>
        <w:tblCellMar>
          <w:top w:w="0" w:type="dxa"/>
          <w:left w:w="108" w:type="dxa"/>
          <w:bottom w:w="0" w:type="dxa"/>
          <w:right w:w="108" w:type="dxa"/>
        </w:tblCellMar>
      </w:tblPr>
      <w:tblGrid>
        <w:gridCol w:w="709"/>
        <w:gridCol w:w="1628"/>
        <w:gridCol w:w="3901"/>
        <w:gridCol w:w="567"/>
        <w:gridCol w:w="708"/>
        <w:gridCol w:w="709"/>
        <w:gridCol w:w="851"/>
        <w:gridCol w:w="850"/>
      </w:tblGrid>
      <w:tr>
        <w:tblPrEx>
          <w:tblCellMar>
            <w:top w:w="0" w:type="dxa"/>
            <w:left w:w="108" w:type="dxa"/>
            <w:bottom w:w="0" w:type="dxa"/>
            <w:right w:w="108" w:type="dxa"/>
          </w:tblCellMar>
        </w:tblPrEx>
        <w:trPr>
          <w:trHeight w:val="841" w:hRule="atLeast"/>
          <w:tblHeader/>
          <w:jc w:val="center"/>
        </w:trPr>
        <w:tc>
          <w:tcPr>
            <w:tcW w:w="709" w:type="dxa"/>
            <w:tcBorders>
              <w:top w:val="single" w:color="auto" w:sz="4" w:space="0"/>
              <w:left w:val="single" w:color="auto" w:sz="4" w:space="0"/>
              <w:bottom w:val="single" w:color="auto" w:sz="6" w:space="0"/>
              <w:right w:val="single" w:color="auto" w:sz="6" w:space="0"/>
            </w:tcBorders>
            <w:vAlign w:val="center"/>
          </w:tcPr>
          <w:p>
            <w:pPr>
              <w:rPr>
                <w:b/>
                <w:szCs w:val="21"/>
              </w:rPr>
            </w:pPr>
            <w:r>
              <w:rPr>
                <w:rFonts w:hint="eastAsia"/>
                <w:b/>
                <w:szCs w:val="21"/>
              </w:rPr>
              <w:t>课程</w:t>
            </w:r>
          </w:p>
          <w:p>
            <w:pPr>
              <w:rPr>
                <w:b/>
                <w:szCs w:val="21"/>
              </w:rPr>
            </w:pPr>
            <w:r>
              <w:rPr>
                <w:rFonts w:hint="eastAsia"/>
                <w:b/>
                <w:szCs w:val="21"/>
              </w:rPr>
              <w:t>类别</w:t>
            </w:r>
          </w:p>
        </w:tc>
        <w:tc>
          <w:tcPr>
            <w:tcW w:w="1628" w:type="dxa"/>
            <w:tcBorders>
              <w:top w:val="single" w:color="auto" w:sz="4" w:space="0"/>
              <w:left w:val="single" w:color="auto" w:sz="6" w:space="0"/>
              <w:bottom w:val="single" w:color="auto" w:sz="6" w:space="0"/>
              <w:right w:val="single" w:color="auto" w:sz="6" w:space="0"/>
            </w:tcBorders>
            <w:vAlign w:val="center"/>
          </w:tcPr>
          <w:p>
            <w:pPr>
              <w:jc w:val="center"/>
              <w:rPr>
                <w:b/>
                <w:szCs w:val="21"/>
              </w:rPr>
            </w:pPr>
            <w:r>
              <w:rPr>
                <w:rFonts w:hint="eastAsia"/>
                <w:b/>
                <w:szCs w:val="21"/>
              </w:rPr>
              <w:t>课程编号</w:t>
            </w:r>
          </w:p>
        </w:tc>
        <w:tc>
          <w:tcPr>
            <w:tcW w:w="3901" w:type="dxa"/>
            <w:tcBorders>
              <w:top w:val="single" w:color="auto" w:sz="4" w:space="0"/>
              <w:left w:val="single" w:color="auto" w:sz="6" w:space="0"/>
              <w:bottom w:val="single" w:color="auto" w:sz="6" w:space="0"/>
              <w:right w:val="single" w:color="auto" w:sz="6" w:space="0"/>
            </w:tcBorders>
            <w:vAlign w:val="center"/>
          </w:tcPr>
          <w:p>
            <w:pPr>
              <w:jc w:val="center"/>
              <w:rPr>
                <w:b/>
                <w:szCs w:val="21"/>
              </w:rPr>
            </w:pPr>
            <w:r>
              <w:rPr>
                <w:rFonts w:hint="eastAsia"/>
                <w:b/>
                <w:szCs w:val="21"/>
              </w:rPr>
              <w:t>课程中英文名称</w:t>
            </w:r>
          </w:p>
        </w:tc>
        <w:tc>
          <w:tcPr>
            <w:tcW w:w="567" w:type="dxa"/>
            <w:tcBorders>
              <w:top w:val="single" w:color="auto" w:sz="4" w:space="0"/>
              <w:left w:val="single" w:color="auto" w:sz="6" w:space="0"/>
              <w:bottom w:val="single" w:color="auto" w:sz="6" w:space="0"/>
              <w:right w:val="single" w:color="auto" w:sz="6" w:space="0"/>
            </w:tcBorders>
            <w:vAlign w:val="center"/>
          </w:tcPr>
          <w:p>
            <w:pPr>
              <w:jc w:val="center"/>
              <w:rPr>
                <w:b/>
                <w:szCs w:val="21"/>
              </w:rPr>
            </w:pPr>
            <w:r>
              <w:rPr>
                <w:rFonts w:hint="eastAsia"/>
                <w:b/>
                <w:szCs w:val="21"/>
              </w:rPr>
              <w:t>学分</w:t>
            </w:r>
          </w:p>
        </w:tc>
        <w:tc>
          <w:tcPr>
            <w:tcW w:w="708" w:type="dxa"/>
            <w:tcBorders>
              <w:top w:val="single" w:color="auto" w:sz="4" w:space="0"/>
              <w:left w:val="single" w:color="auto" w:sz="6" w:space="0"/>
              <w:bottom w:val="single" w:color="auto" w:sz="6" w:space="0"/>
              <w:right w:val="single" w:color="auto" w:sz="6" w:space="0"/>
            </w:tcBorders>
            <w:vAlign w:val="center"/>
          </w:tcPr>
          <w:p>
            <w:pPr>
              <w:jc w:val="center"/>
              <w:rPr>
                <w:b/>
                <w:szCs w:val="21"/>
              </w:rPr>
            </w:pPr>
            <w:r>
              <w:rPr>
                <w:rFonts w:hint="eastAsia"/>
                <w:b/>
                <w:szCs w:val="21"/>
              </w:rPr>
              <w:t>开课</w:t>
            </w:r>
          </w:p>
          <w:p>
            <w:pPr>
              <w:jc w:val="center"/>
              <w:rPr>
                <w:szCs w:val="21"/>
              </w:rPr>
            </w:pPr>
            <w:r>
              <w:rPr>
                <w:rFonts w:hint="eastAsia"/>
                <w:b/>
                <w:szCs w:val="21"/>
              </w:rPr>
              <w:t>学期</w:t>
            </w:r>
          </w:p>
        </w:tc>
        <w:tc>
          <w:tcPr>
            <w:tcW w:w="709" w:type="dxa"/>
            <w:tcBorders>
              <w:top w:val="single" w:color="auto" w:sz="4" w:space="0"/>
              <w:left w:val="single" w:color="auto" w:sz="6" w:space="0"/>
              <w:bottom w:val="single" w:color="auto" w:sz="6" w:space="0"/>
              <w:right w:val="single" w:color="auto" w:sz="4" w:space="0"/>
            </w:tcBorders>
            <w:vAlign w:val="center"/>
          </w:tcPr>
          <w:p>
            <w:pPr>
              <w:jc w:val="center"/>
              <w:rPr>
                <w:b/>
                <w:szCs w:val="21"/>
              </w:rPr>
            </w:pPr>
            <w:r>
              <w:rPr>
                <w:rFonts w:hint="eastAsia"/>
                <w:b/>
                <w:szCs w:val="21"/>
              </w:rPr>
              <w:t>普博</w:t>
            </w:r>
          </w:p>
        </w:tc>
        <w:tc>
          <w:tcPr>
            <w:tcW w:w="851" w:type="dxa"/>
            <w:tcBorders>
              <w:top w:val="single" w:color="auto" w:sz="4" w:space="0"/>
              <w:left w:val="single" w:color="auto" w:sz="6" w:space="0"/>
              <w:bottom w:val="single" w:color="auto" w:sz="6" w:space="0"/>
              <w:right w:val="single" w:color="auto" w:sz="4" w:space="0"/>
            </w:tcBorders>
            <w:vAlign w:val="center"/>
          </w:tcPr>
          <w:p>
            <w:pPr>
              <w:jc w:val="center"/>
              <w:rPr>
                <w:b/>
                <w:szCs w:val="21"/>
              </w:rPr>
            </w:pPr>
            <w:r>
              <w:rPr>
                <w:rFonts w:hint="eastAsia"/>
                <w:b/>
                <w:szCs w:val="21"/>
              </w:rPr>
              <w:t>硕博</w:t>
            </w:r>
          </w:p>
          <w:p>
            <w:pPr>
              <w:jc w:val="center"/>
              <w:rPr>
                <w:b/>
                <w:szCs w:val="21"/>
              </w:rPr>
            </w:pPr>
            <w:r>
              <w:rPr>
                <w:rFonts w:hint="eastAsia"/>
                <w:b/>
                <w:szCs w:val="21"/>
              </w:rPr>
              <w:t>连读</w:t>
            </w:r>
          </w:p>
        </w:tc>
        <w:tc>
          <w:tcPr>
            <w:tcW w:w="850" w:type="dxa"/>
            <w:tcBorders>
              <w:top w:val="single" w:color="auto" w:sz="4" w:space="0"/>
              <w:left w:val="single" w:color="auto" w:sz="6" w:space="0"/>
              <w:bottom w:val="single" w:color="auto" w:sz="6" w:space="0"/>
              <w:right w:val="single" w:color="auto" w:sz="4" w:space="0"/>
            </w:tcBorders>
            <w:vAlign w:val="center"/>
          </w:tcPr>
          <w:p>
            <w:pPr>
              <w:jc w:val="center"/>
              <w:rPr>
                <w:b/>
                <w:szCs w:val="21"/>
              </w:rPr>
            </w:pPr>
            <w:r>
              <w:rPr>
                <w:rFonts w:hint="eastAsia"/>
                <w:b/>
                <w:szCs w:val="21"/>
              </w:rPr>
              <w:t>本科</w:t>
            </w:r>
          </w:p>
          <w:p>
            <w:pPr>
              <w:jc w:val="center"/>
              <w:rPr>
                <w:b/>
                <w:szCs w:val="21"/>
              </w:rPr>
            </w:pPr>
            <w:r>
              <w:rPr>
                <w:rFonts w:hint="eastAsia"/>
                <w:b/>
                <w:szCs w:val="21"/>
              </w:rPr>
              <w:t>直博</w:t>
            </w:r>
          </w:p>
        </w:tc>
      </w:tr>
      <w:tr>
        <w:tblPrEx>
          <w:tblCellMar>
            <w:top w:w="0" w:type="dxa"/>
            <w:left w:w="108" w:type="dxa"/>
            <w:bottom w:w="0" w:type="dxa"/>
            <w:right w:w="108" w:type="dxa"/>
          </w:tblCellMar>
        </w:tblPrEx>
        <w:trPr>
          <w:trHeight w:val="829" w:hRule="atLeast"/>
          <w:jc w:val="center"/>
        </w:trPr>
        <w:tc>
          <w:tcPr>
            <w:tcW w:w="709" w:type="dxa"/>
            <w:vMerge w:val="restart"/>
            <w:tcBorders>
              <w:top w:val="single" w:color="auto" w:sz="6" w:space="0"/>
              <w:left w:val="single" w:color="auto" w:sz="4" w:space="0"/>
              <w:bottom w:val="single" w:color="auto" w:sz="4" w:space="0"/>
              <w:right w:val="single" w:color="auto" w:sz="6" w:space="0"/>
            </w:tcBorders>
            <w:vAlign w:val="center"/>
          </w:tcPr>
          <w:p>
            <w:pPr>
              <w:rPr>
                <w:b/>
                <w:szCs w:val="21"/>
              </w:rPr>
            </w:pPr>
            <w:r>
              <w:rPr>
                <w:rFonts w:hint="eastAsia"/>
                <w:b/>
                <w:szCs w:val="21"/>
              </w:rPr>
              <w:t>学位公共课</w:t>
            </w:r>
          </w:p>
        </w:tc>
        <w:tc>
          <w:tcPr>
            <w:tcW w:w="162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b/>
                <w:szCs w:val="21"/>
              </w:rPr>
            </w:pPr>
            <w:r>
              <w:rPr>
                <w:rFonts w:ascii="Times New Roman" w:hAnsi="Times New Roman" w:cs="Times New Roman"/>
                <w:sz w:val="18"/>
                <w:szCs w:val="18"/>
              </w:rPr>
              <w:t>TYKC0321101001</w:t>
            </w: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b/>
                <w:szCs w:val="21"/>
              </w:rPr>
            </w:pPr>
            <w:r>
              <w:rPr>
                <w:rFonts w:ascii="Times New Roman" w:hAnsi="Times New Roman" w:cs="Times New Roman"/>
                <w:sz w:val="18"/>
                <w:szCs w:val="18"/>
              </w:rPr>
              <w:t>中国马克思主义与当代Chinese Marxism and Contemporary World</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秋</w:t>
            </w:r>
          </w:p>
        </w:tc>
        <w:tc>
          <w:tcPr>
            <w:tcW w:w="709"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b/>
                <w:szCs w:val="21"/>
              </w:rPr>
            </w:pPr>
            <w:r>
              <w:rPr>
                <w:rFonts w:ascii="Times New Roman" w:hAnsi="Times New Roman" w:cs="Times New Roman"/>
                <w:sz w:val="18"/>
                <w:szCs w:val="18"/>
              </w:rPr>
              <w:t>必选</w:t>
            </w:r>
          </w:p>
        </w:tc>
        <w:tc>
          <w:tcPr>
            <w:tcW w:w="851"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b/>
                <w:szCs w:val="21"/>
              </w:rPr>
            </w:pPr>
          </w:p>
        </w:tc>
        <w:tc>
          <w:tcPr>
            <w:tcW w:w="850"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w:t>
            </w:r>
          </w:p>
          <w:p>
            <w:pPr>
              <w:spacing w:line="260" w:lineRule="exact"/>
              <w:jc w:val="center"/>
              <w:rPr>
                <w:rFonts w:ascii="Times New Roman" w:hAnsi="Times New Roman" w:cs="Times New Roman"/>
                <w:b/>
                <w:szCs w:val="21"/>
              </w:rPr>
            </w:pPr>
            <w:r>
              <w:rPr>
                <w:rFonts w:ascii="Times New Roman" w:hAnsi="Times New Roman" w:cs="Times New Roman"/>
                <w:sz w:val="18"/>
                <w:szCs w:val="18"/>
              </w:rPr>
              <w:t>选</w:t>
            </w: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1628" w:type="dxa"/>
            <w:tcBorders>
              <w:top w:val="single" w:color="auto" w:sz="6" w:space="0"/>
              <w:left w:val="single" w:color="auto" w:sz="6" w:space="0"/>
              <w:bottom w:val="single" w:color="auto" w:sz="4" w:space="0"/>
              <w:right w:val="single" w:color="auto" w:sz="6" w:space="0"/>
            </w:tcBorders>
          </w:tcPr>
          <w:p>
            <w:pPr>
              <w:rPr>
                <w:rFonts w:ascii="Times New Roman" w:hAnsi="Times New Roman" w:cs="Times New Roman"/>
                <w:b/>
                <w:szCs w:val="21"/>
              </w:rPr>
            </w:pPr>
            <w:r>
              <w:rPr>
                <w:rFonts w:ascii="Times New Roman" w:hAnsi="Times New Roman" w:cs="Times New Roman"/>
                <w:sz w:val="18"/>
                <w:szCs w:val="18"/>
              </w:rPr>
              <w:t>TYKC0611101006</w:t>
            </w:r>
          </w:p>
        </w:tc>
        <w:tc>
          <w:tcPr>
            <w:tcW w:w="3901" w:type="dxa"/>
            <w:tcBorders>
              <w:top w:val="single" w:color="auto" w:sz="6"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新时代中国特色社会主义理论与实践</w:t>
            </w:r>
          </w:p>
          <w:p>
            <w:pPr>
              <w:spacing w:line="260" w:lineRule="exact"/>
              <w:rPr>
                <w:rFonts w:ascii="Times New Roman" w:hAnsi="Times New Roman" w:cs="Times New Roman"/>
                <w:sz w:val="18"/>
                <w:szCs w:val="18"/>
              </w:rPr>
            </w:pPr>
            <w:r>
              <w:rPr>
                <w:rFonts w:ascii="Times New Roman" w:hAnsi="Times New Roman" w:cs="Times New Roman"/>
                <w:sz w:val="18"/>
                <w:szCs w:val="18"/>
              </w:rPr>
              <w:t>Theory and Practice of Socialism with Chinese characteristics in the new era</w:t>
            </w:r>
          </w:p>
        </w:tc>
        <w:tc>
          <w:tcPr>
            <w:tcW w:w="567" w:type="dxa"/>
            <w:tcBorders>
              <w:top w:val="single" w:color="auto" w:sz="6"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6"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color="auto" w:sz="6"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p>
        </w:tc>
        <w:tc>
          <w:tcPr>
            <w:tcW w:w="851" w:type="dxa"/>
            <w:tcBorders>
              <w:top w:val="single" w:color="auto" w:sz="6" w:space="0"/>
              <w:left w:val="single" w:color="auto" w:sz="6" w:space="0"/>
              <w:bottom w:val="single" w:color="auto" w:sz="4" w:space="0"/>
              <w:right w:val="single" w:color="auto" w:sz="4" w:space="0"/>
            </w:tcBorders>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w:t>
            </w:r>
          </w:p>
          <w:p>
            <w:pPr>
              <w:spacing w:line="260" w:lineRule="exact"/>
              <w:jc w:val="center"/>
              <w:rPr>
                <w:rFonts w:ascii="Times New Roman" w:hAnsi="Times New Roman" w:cs="Times New Roman"/>
                <w:sz w:val="18"/>
                <w:szCs w:val="18"/>
              </w:rPr>
            </w:pPr>
            <w:r>
              <w:rPr>
                <w:rFonts w:ascii="Times New Roman" w:hAnsi="Times New Roman" w:cs="Times New Roman"/>
                <w:sz w:val="18"/>
                <w:szCs w:val="18"/>
              </w:rPr>
              <w:t>选</w:t>
            </w:r>
          </w:p>
        </w:tc>
        <w:tc>
          <w:tcPr>
            <w:tcW w:w="850" w:type="dxa"/>
            <w:tcBorders>
              <w:top w:val="single" w:color="auto" w:sz="6" w:space="0"/>
              <w:left w:val="single" w:color="auto" w:sz="6" w:space="0"/>
              <w:bottom w:val="single" w:color="auto" w:sz="4" w:space="0"/>
              <w:right w:val="single" w:color="auto" w:sz="4" w:space="0"/>
            </w:tcBorders>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1628" w:type="dxa"/>
            <w:tcBorders>
              <w:top w:val="single" w:color="auto" w:sz="4" w:space="0"/>
              <w:left w:val="single" w:color="auto" w:sz="6" w:space="0"/>
              <w:bottom w:val="single" w:color="auto" w:sz="4" w:space="0"/>
              <w:right w:val="single" w:color="auto" w:sz="6" w:space="0"/>
            </w:tcBorders>
          </w:tcPr>
          <w:p>
            <w:pPr>
              <w:rPr>
                <w:rFonts w:ascii="Times New Roman" w:hAnsi="Times New Roman" w:cs="Times New Roman"/>
                <w:sz w:val="18"/>
                <w:szCs w:val="18"/>
              </w:rPr>
            </w:pPr>
            <w:r>
              <w:rPr>
                <w:rFonts w:ascii="Times New Roman" w:hAnsi="Times New Roman" w:cs="Times New Roman"/>
                <w:sz w:val="18"/>
                <w:szCs w:val="18"/>
              </w:rPr>
              <w:t>TYKC0611101003</w:t>
            </w:r>
          </w:p>
        </w:tc>
        <w:tc>
          <w:tcPr>
            <w:tcW w:w="3901" w:type="dxa"/>
            <w:tcBorders>
              <w:top w:val="single" w:color="auto" w:sz="4" w:space="0"/>
              <w:left w:val="single" w:color="auto" w:sz="6" w:space="0"/>
              <w:bottom w:val="single" w:color="auto" w:sz="4"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自然辩证法</w:t>
            </w:r>
          </w:p>
          <w:p>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567"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秋</w:t>
            </w:r>
          </w:p>
        </w:tc>
        <w:tc>
          <w:tcPr>
            <w:tcW w:w="709" w:type="dxa"/>
            <w:tcBorders>
              <w:top w:val="single" w:color="auto" w:sz="4" w:space="0"/>
              <w:left w:val="single" w:color="auto" w:sz="6" w:space="0"/>
              <w:bottom w:val="single" w:color="auto" w:sz="4" w:space="0"/>
              <w:right w:val="single" w:color="auto" w:sz="4" w:space="0"/>
            </w:tcBorders>
            <w:vAlign w:val="center"/>
          </w:tcPr>
          <w:p>
            <w:pPr>
              <w:spacing w:line="260" w:lineRule="exact"/>
              <w:jc w:val="center"/>
              <w:rPr>
                <w:rFonts w:ascii="Times New Roman" w:hAnsi="Times New Roman" w:cs="Times New Roman"/>
                <w:sz w:val="18"/>
                <w:szCs w:val="18"/>
              </w:rPr>
            </w:pPr>
          </w:p>
        </w:tc>
        <w:tc>
          <w:tcPr>
            <w:tcW w:w="851" w:type="dxa"/>
            <w:tcBorders>
              <w:top w:val="single" w:color="auto" w:sz="4" w:space="0"/>
              <w:left w:val="single" w:color="auto" w:sz="6" w:space="0"/>
              <w:bottom w:val="single" w:color="auto" w:sz="4"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color="auto" w:sz="4" w:space="0"/>
              <w:left w:val="single" w:color="auto" w:sz="6" w:space="0"/>
              <w:bottom w:val="single" w:color="auto" w:sz="4" w:space="0"/>
              <w:right w:val="single" w:color="auto" w:sz="4" w:space="0"/>
            </w:tcBorders>
            <w:vAlign w:val="center"/>
          </w:tcPr>
          <w:p>
            <w:pPr>
              <w:jc w:val="center"/>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外国语</w:t>
            </w:r>
          </w:p>
          <w:p>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春/秋</w:t>
            </w:r>
          </w:p>
        </w:tc>
        <w:tc>
          <w:tcPr>
            <w:tcW w:w="709"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1"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spacing w:line="260" w:lineRule="exact"/>
              <w:rPr>
                <w:rFonts w:ascii="Times New Roman" w:hAnsi="Times New Roman" w:cs="Times New Roman"/>
                <w:sz w:val="18"/>
                <w:szCs w:val="18"/>
              </w:rPr>
            </w:pPr>
            <w:r>
              <w:rPr>
                <w:rFonts w:ascii="Times New Roman" w:hAnsi="Times New Roman" w:cs="Times New Roman"/>
                <w:sz w:val="18"/>
                <w:szCs w:val="18"/>
              </w:rPr>
              <w:t>研究伦理与学术规范类课程</w:t>
            </w:r>
          </w:p>
          <w:p>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567"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color="auto" w:sz="4" w:space="0"/>
              <w:left w:val="single" w:color="auto" w:sz="6" w:space="0"/>
              <w:bottom w:val="single" w:color="auto" w:sz="6" w:space="0"/>
              <w:right w:val="single" w:color="auto" w:sz="6" w:space="0"/>
            </w:tcBorders>
            <w:vAlign w:val="center"/>
          </w:tcPr>
          <w:p>
            <w:pPr>
              <w:spacing w:line="260" w:lineRule="exact"/>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1"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color="auto" w:sz="4" w:space="0"/>
              <w:left w:val="single" w:color="auto" w:sz="6" w:space="0"/>
              <w:bottom w:val="single" w:color="auto" w:sz="6" w:space="0"/>
              <w:right w:val="single" w:color="auto" w:sz="4" w:space="0"/>
            </w:tcBorders>
            <w:vAlign w:val="center"/>
          </w:tcPr>
          <w:p>
            <w:pPr>
              <w:spacing w:line="260" w:lineRule="exact"/>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481" w:hRule="atLeast"/>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1628" w:type="dxa"/>
            <w:tcBorders>
              <w:top w:val="single" w:color="auto" w:sz="4" w:space="0"/>
              <w:left w:val="single" w:color="auto" w:sz="6" w:space="0"/>
              <w:bottom w:val="single" w:color="auto" w:sz="6" w:space="0"/>
              <w:right w:val="single" w:color="auto" w:sz="6" w:space="0"/>
            </w:tcBorders>
          </w:tcPr>
          <w:p>
            <w:pPr>
              <w:jc w:val="center"/>
              <w:rPr>
                <w:rFonts w:ascii="Times New Roman" w:hAnsi="Times New Roman" w:cs="Times New Roman"/>
                <w:b/>
                <w:szCs w:val="21"/>
              </w:rPr>
            </w:pPr>
          </w:p>
        </w:tc>
        <w:tc>
          <w:tcPr>
            <w:tcW w:w="3901" w:type="dxa"/>
            <w:tcBorders>
              <w:top w:val="single" w:color="auto" w:sz="4"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通识选修类课程</w:t>
            </w:r>
          </w:p>
        </w:tc>
        <w:tc>
          <w:tcPr>
            <w:tcW w:w="567"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jc w:val="center"/>
              <w:rPr>
                <w:rFonts w:ascii="Times New Roman" w:hAnsi="Times New Roman" w:cs="Times New Roman"/>
                <w:sz w:val="18"/>
                <w:szCs w:val="18"/>
              </w:rPr>
            </w:pPr>
          </w:p>
        </w:tc>
        <w:tc>
          <w:tcPr>
            <w:tcW w:w="709" w:type="dxa"/>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sz w:val="18"/>
                <w:szCs w:val="18"/>
              </w:rPr>
            </w:pPr>
          </w:p>
        </w:tc>
        <w:tc>
          <w:tcPr>
            <w:tcW w:w="851" w:type="dxa"/>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必选</w:t>
            </w:r>
          </w:p>
        </w:tc>
        <w:tc>
          <w:tcPr>
            <w:tcW w:w="850" w:type="dxa"/>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sz w:val="18"/>
                <w:szCs w:val="18"/>
              </w:rPr>
            </w:pPr>
            <w:r>
              <w:rPr>
                <w:rFonts w:ascii="Times New Roman" w:hAnsi="Times New Roman" w:cs="Times New Roman"/>
                <w:sz w:val="18"/>
                <w:szCs w:val="18"/>
              </w:rPr>
              <w:t>必选</w:t>
            </w:r>
          </w:p>
        </w:tc>
      </w:tr>
      <w:tr>
        <w:tblPrEx>
          <w:tblCellMar>
            <w:top w:w="0" w:type="dxa"/>
            <w:left w:w="108" w:type="dxa"/>
            <w:bottom w:w="0" w:type="dxa"/>
            <w:right w:w="108" w:type="dxa"/>
          </w:tblCellMar>
        </w:tblPrEx>
        <w:trPr>
          <w:trHeight w:val="404" w:hRule="atLeast"/>
          <w:jc w:val="center"/>
        </w:trPr>
        <w:tc>
          <w:tcPr>
            <w:tcW w:w="709" w:type="dxa"/>
            <w:vMerge w:val="continue"/>
            <w:tcBorders>
              <w:left w:val="single" w:color="auto" w:sz="4" w:space="0"/>
              <w:bottom w:val="single" w:color="auto" w:sz="4" w:space="0"/>
              <w:right w:val="single" w:color="auto" w:sz="6" w:space="0"/>
            </w:tcBorders>
            <w:vAlign w:val="center"/>
          </w:tcPr>
          <w:p>
            <w:pPr>
              <w:rPr>
                <w:b/>
                <w:szCs w:val="21"/>
              </w:rPr>
            </w:pPr>
          </w:p>
        </w:tc>
        <w:tc>
          <w:tcPr>
            <w:tcW w:w="9214" w:type="dxa"/>
            <w:gridSpan w:val="7"/>
            <w:tcBorders>
              <w:top w:val="single" w:color="auto" w:sz="4"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：普博生≥5学分； 硕博生≥8学分；本博生≥7学分；</w:t>
            </w:r>
          </w:p>
          <w:p>
            <w:pPr>
              <w:ind w:firstLine="720" w:firstLineChars="400"/>
              <w:jc w:val="center"/>
              <w:rPr>
                <w:rFonts w:ascii="Times New Roman" w:hAnsi="Times New Roman" w:cs="Times New Roman"/>
                <w:sz w:val="18"/>
                <w:szCs w:val="18"/>
              </w:rPr>
            </w:pPr>
            <w:r>
              <w:rPr>
                <w:rFonts w:ascii="Times New Roman" w:hAnsi="Times New Roman" w:cs="Times New Roman"/>
                <w:sz w:val="18"/>
                <w:szCs w:val="18"/>
              </w:rPr>
              <w:t>研究伦理与学术规范类课程自学为主，网上考核</w:t>
            </w:r>
          </w:p>
        </w:tc>
      </w:tr>
      <w:tr>
        <w:tblPrEx>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6" w:space="0"/>
            </w:tcBorders>
            <w:vAlign w:val="center"/>
          </w:tcPr>
          <w:p>
            <w:pPr>
              <w:jc w:val="center"/>
              <w:rPr>
                <w:b/>
                <w:szCs w:val="21"/>
              </w:rPr>
            </w:pPr>
            <w:r>
              <w:rPr>
                <w:rFonts w:hint="eastAsia"/>
                <w:b/>
                <w:szCs w:val="21"/>
              </w:rPr>
              <w:t>学位</w:t>
            </w:r>
          </w:p>
          <w:p>
            <w:pPr>
              <w:jc w:val="center"/>
              <w:rPr>
                <w:szCs w:val="21"/>
              </w:rPr>
            </w:pPr>
            <w:r>
              <w:rPr>
                <w:rFonts w:hint="eastAsia"/>
                <w:b/>
                <w:szCs w:val="21"/>
              </w:rPr>
              <w:t>基础课</w:t>
            </w:r>
          </w:p>
        </w:tc>
        <w:tc>
          <w:tcPr>
            <w:tcW w:w="1628"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ECOL3221102008</w:t>
            </w:r>
          </w:p>
        </w:tc>
        <w:tc>
          <w:tcPr>
            <w:tcW w:w="3901" w:type="dxa"/>
            <w:tcBorders>
              <w:top w:val="single" w:color="auto" w:sz="6" w:space="0"/>
              <w:left w:val="single" w:color="auto" w:sz="6" w:space="0"/>
              <w:bottom w:val="single" w:color="auto" w:sz="4"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生态学理论与应用前沿</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Frontiers in Ecological Theories and Applications</w:t>
            </w:r>
          </w:p>
        </w:tc>
        <w:tc>
          <w:tcPr>
            <w:tcW w:w="567"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2</w:t>
            </w:r>
          </w:p>
        </w:tc>
        <w:tc>
          <w:tcPr>
            <w:tcW w:w="708"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秋</w:t>
            </w: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必选</w:t>
            </w:r>
          </w:p>
        </w:tc>
        <w:tc>
          <w:tcPr>
            <w:tcW w:w="851"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必</w:t>
            </w:r>
          </w:p>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选</w:t>
            </w:r>
          </w:p>
        </w:tc>
        <w:tc>
          <w:tcPr>
            <w:tcW w:w="850" w:type="dxa"/>
            <w:tcBorders>
              <w:top w:val="single" w:color="auto" w:sz="4" w:space="0"/>
              <w:left w:val="single" w:color="auto" w:sz="6" w:space="0"/>
              <w:bottom w:val="single" w:color="auto" w:sz="6" w:space="0"/>
              <w:right w:val="single" w:color="auto" w:sz="4" w:space="0"/>
            </w:tcBorders>
          </w:tcPr>
          <w:p>
            <w:pPr>
              <w:spacing w:line="26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ECOL3211102057</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生态学研究进展</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Progresses in Ecology</w:t>
            </w:r>
          </w:p>
        </w:tc>
        <w:tc>
          <w:tcPr>
            <w:tcW w:w="567"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2</w:t>
            </w:r>
          </w:p>
        </w:tc>
        <w:tc>
          <w:tcPr>
            <w:tcW w:w="70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春</w:t>
            </w:r>
          </w:p>
        </w:tc>
        <w:tc>
          <w:tcPr>
            <w:tcW w:w="709"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w:t>
            </w:r>
          </w:p>
        </w:tc>
        <w:tc>
          <w:tcPr>
            <w:tcW w:w="851" w:type="dxa"/>
            <w:tcBorders>
              <w:top w:val="single" w:color="auto" w:sz="4"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p>
        </w:tc>
        <w:tc>
          <w:tcPr>
            <w:tcW w:w="850"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ECOL4211102004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生态学研究方法</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Methods for Ecological Research</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必</w:t>
            </w:r>
          </w:p>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选</w:t>
            </w:r>
          </w:p>
        </w:tc>
        <w:tc>
          <w:tcPr>
            <w:tcW w:w="850"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 xml:space="preserve">LXTY4211102001 </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生态学基础</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p>
        </w:tc>
        <w:tc>
          <w:tcPr>
            <w:tcW w:w="850"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ECOL3211102055</w:t>
            </w:r>
          </w:p>
          <w:p>
            <w:pPr>
              <w:pStyle w:val="40"/>
              <w:jc w:val="center"/>
              <w:rPr>
                <w:rFonts w:ascii="Times New Roman" w:hAnsi="Times New Roman" w:eastAsia="宋体" w:cs="Times New Roman"/>
                <w:kern w:val="2"/>
                <w:szCs w:val="18"/>
              </w:rPr>
            </w:pP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生态学研究思想史</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History of Ecological Thought and Research</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p>
        </w:tc>
        <w:tc>
          <w:tcPr>
            <w:tcW w:w="850"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rPr>
          <w:trHeight w:val="808" w:hRule="atLeast"/>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BIOL3411102035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现代生物学技术原理与应用</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Principles and Applications of Modern Biological Technology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4</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r>
              <w:rPr>
                <w:rFonts w:ascii="Times New Roman" w:hAnsi="Times New Roman" w:eastAsia="宋体" w:cs="Times New Roman"/>
                <w:kern w:val="2"/>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kern w:val="2"/>
                <w:szCs w:val="18"/>
              </w:rPr>
            </w:pPr>
          </w:p>
        </w:tc>
        <w:tc>
          <w:tcPr>
            <w:tcW w:w="850" w:type="dxa"/>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Cs w:val="21"/>
              </w:rPr>
            </w:pPr>
            <w:r>
              <w:rPr>
                <w:rFonts w:ascii="Times New Roman" w:hAnsi="Times New Roman" w:cs="Times New Roman"/>
                <w:b/>
                <w:sz w:val="18"/>
                <w:szCs w:val="18"/>
              </w:rPr>
              <w:t xml:space="preserve">学分要求： </w:t>
            </w:r>
            <w:r>
              <w:rPr>
                <w:rFonts w:ascii="Times New Roman" w:hAnsi="Times New Roman" w:cs="Times New Roman"/>
                <w:sz w:val="18"/>
                <w:szCs w:val="18"/>
              </w:rPr>
              <w:t>普博生≥ 2 学分；硕博生/本博生≥4学分；</w:t>
            </w:r>
          </w:p>
        </w:tc>
      </w:tr>
      <w:tr>
        <w:tblPrEx>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6" w:space="0"/>
            </w:tcBorders>
            <w:vAlign w:val="center"/>
          </w:tcPr>
          <w:p>
            <w:pPr>
              <w:jc w:val="center"/>
              <w:rPr>
                <w:szCs w:val="21"/>
              </w:rPr>
            </w:pPr>
            <w:r>
              <w:rPr>
                <w:rFonts w:hint="eastAsia"/>
                <w:b/>
                <w:szCs w:val="21"/>
              </w:rPr>
              <w:t>学位专业课（必修）</w:t>
            </w: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ECOL3221102009</w:t>
            </w:r>
          </w:p>
          <w:p>
            <w:pPr>
              <w:pStyle w:val="40"/>
              <w:jc w:val="center"/>
              <w:rPr>
                <w:rFonts w:ascii="Times New Roman" w:hAnsi="Times New Roman" w:eastAsia="宋体" w:cs="Times New Roman"/>
                <w:color w:val="000000"/>
              </w:rPr>
            </w:pP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科学写作</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Scientific Writing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必选</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必</w:t>
            </w:r>
          </w:p>
          <w:p>
            <w:pPr>
              <w:pStyle w:val="40"/>
              <w:jc w:val="center"/>
              <w:rPr>
                <w:rFonts w:ascii="Times New Roman" w:hAnsi="Times New Roman" w:eastAsia="宋体" w:cs="Times New Roman"/>
                <w:color w:val="000000"/>
              </w:rPr>
            </w:pPr>
            <w:r>
              <w:rPr>
                <w:rFonts w:ascii="Times New Roman" w:hAnsi="Times New Roman" w:eastAsia="宋体" w:cs="Times New Roman"/>
                <w:color w:val="000000"/>
              </w:rPr>
              <w:t>选</w:t>
            </w: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必</w:t>
            </w:r>
          </w:p>
          <w:p>
            <w:pPr>
              <w:pStyle w:val="40"/>
              <w:jc w:val="center"/>
              <w:rPr>
                <w:rFonts w:ascii="Times New Roman" w:hAnsi="Times New Roman" w:eastAsia="宋体" w:cs="Times New Roman"/>
                <w:color w:val="000000"/>
              </w:rPr>
            </w:pPr>
            <w:r>
              <w:rPr>
                <w:rFonts w:ascii="Times New Roman" w:hAnsi="Times New Roman" w:eastAsia="宋体" w:cs="Times New Roman"/>
                <w:color w:val="000000"/>
              </w:rPr>
              <w:t>选</w:t>
            </w: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4"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ECOL3211102058</w:t>
            </w:r>
          </w:p>
        </w:tc>
        <w:tc>
          <w:tcPr>
            <w:tcW w:w="3901" w:type="dxa"/>
            <w:tcBorders>
              <w:top w:val="single" w:color="auto" w:sz="6" w:space="0"/>
              <w:left w:val="single" w:color="auto" w:sz="6" w:space="0"/>
              <w:bottom w:val="single" w:color="auto" w:sz="4"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专业英语</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Academic English for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ECOL3211102052</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生态统计基础</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Statistics in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ECOL3211102042</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高级生态统计</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Advanced Statistics in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ECOL3211102038</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生物多样性：理论与应用前沿</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Biodiversity: Frontiers in Theory and Application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ECOL3211102059</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rPr>
                <w:rFonts w:ascii="Times New Roman" w:hAnsi="Times New Roman" w:eastAsia="宋体" w:cs="Times New Roman"/>
                <w:color w:val="000000"/>
              </w:rPr>
            </w:pPr>
            <w:r>
              <w:rPr>
                <w:rFonts w:ascii="Times New Roman" w:hAnsi="Times New Roman" w:eastAsia="宋体" w:cs="Times New Roman"/>
                <w:color w:val="000000"/>
              </w:rPr>
              <w:t>生态系统过程与功能</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Ecosystem Process and Function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Songti SC" w:cs="Times New Roman"/>
                <w:color w:val="000000"/>
              </w:rPr>
            </w:pPr>
            <w:r>
              <w:rPr>
                <w:rFonts w:ascii="Times New Roman" w:hAnsi="Times New Roman" w:eastAsia="Songti SC"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Songti SC" w:cs="Times New Roman"/>
                <w:color w:val="000000"/>
              </w:rPr>
            </w:pPr>
            <w:r>
              <w:rPr>
                <w:rFonts w:ascii="Times New Roman" w:hAnsi="Times New Roman" w:eastAsia="Songti SC"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ECOL3211102040</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城市与可持续生态学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The Ecology of Urban and Sustainability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ECOL3421102002</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高级动物生态学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Advanced Animal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LXTY4211102037</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河口海岸研究进展</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Progresses in Estuarine and Coastal Sciences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LXTY4211102036</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河口海岸学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Estuarine and Coastal Sciences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BIOL3411102013</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植物学研究方法</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Research Methods of Botany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trHeight w:val="539" w:hRule="atLeast"/>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BIOL3411102045</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水生生物学原理与进展</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Principle and Progress of Hydrobiology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BIOL3411102015</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组学与生物信息学技术与原理</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Genomics and Bioinformatics Technique and Principle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4"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BIOL3411102007</w:t>
            </w:r>
          </w:p>
        </w:tc>
        <w:tc>
          <w:tcPr>
            <w:tcW w:w="3901" w:type="dxa"/>
            <w:tcBorders>
              <w:top w:val="single" w:color="auto" w:sz="4"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形态观察技术与原理</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Morphological Observation on the Technique and Principle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jc w:val="center"/>
              <w:rPr>
                <w:szCs w:val="21"/>
              </w:rPr>
            </w:pPr>
          </w:p>
        </w:tc>
        <w:tc>
          <w:tcPr>
            <w:tcW w:w="9214" w:type="dxa"/>
            <w:gridSpan w:val="7"/>
            <w:tcBorders>
              <w:top w:val="single" w:color="auto" w:sz="4" w:space="0"/>
              <w:left w:val="single" w:color="auto" w:sz="6" w:space="0"/>
              <w:bottom w:val="single" w:color="auto" w:sz="6" w:space="0"/>
              <w:right w:val="single" w:color="auto" w:sz="4" w:space="0"/>
            </w:tcBorders>
          </w:tcPr>
          <w:p>
            <w:pPr>
              <w:ind w:firstLine="723" w:firstLineChars="400"/>
              <w:jc w:val="center"/>
              <w:rPr>
                <w:rFonts w:ascii="Times New Roman" w:hAnsi="Times New Roman" w:cs="Times New Roman"/>
                <w:sz w:val="18"/>
                <w:szCs w:val="18"/>
              </w:rPr>
            </w:pPr>
            <w:r>
              <w:rPr>
                <w:rFonts w:ascii="Times New Roman" w:hAnsi="Times New Roman" w:cs="Times New Roman"/>
                <w:b/>
                <w:sz w:val="18"/>
                <w:szCs w:val="18"/>
              </w:rPr>
              <w:t>学分要求：</w:t>
            </w:r>
            <w:r>
              <w:rPr>
                <w:rFonts w:ascii="Times New Roman" w:hAnsi="Times New Roman" w:cs="Times New Roman"/>
                <w:sz w:val="18"/>
                <w:szCs w:val="18"/>
              </w:rPr>
              <w:t>普博生≥ 2 学分；硕博生/本博生≥5学分；</w:t>
            </w:r>
          </w:p>
        </w:tc>
      </w:tr>
      <w:tr>
        <w:tblPrEx>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6" w:space="0"/>
            </w:tcBorders>
            <w:vAlign w:val="center"/>
          </w:tcPr>
          <w:p>
            <w:pPr>
              <w:jc w:val="center"/>
              <w:rPr>
                <w:szCs w:val="21"/>
              </w:rPr>
            </w:pPr>
            <w:r>
              <w:rPr>
                <w:rFonts w:hint="eastAsia"/>
                <w:b/>
                <w:szCs w:val="21"/>
              </w:rPr>
              <w:t>学位专业课</w:t>
            </w:r>
            <w:r>
              <w:rPr>
                <w:b/>
                <w:szCs w:val="21"/>
              </w:rPr>
              <w:t>（</w:t>
            </w:r>
            <w:r>
              <w:rPr>
                <w:rFonts w:hint="eastAsia"/>
                <w:b/>
                <w:szCs w:val="21"/>
              </w:rPr>
              <w:t>选修</w:t>
            </w:r>
            <w:r>
              <w:rPr>
                <w:b/>
                <w:szCs w:val="21"/>
              </w:rPr>
              <w:t>）</w:t>
            </w:r>
          </w:p>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高级植被生态学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Advanced Vegetation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高级群落生态学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Advanced Community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ECOL3211102051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群落生态学与保护生物学热点问题透析</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Hot topics in Community Ecology and Conservation 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ECOL3221102006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种间关系：生态与进化</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Species Interactions: Ecology and Evolution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种群生物学</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Population 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ECOL3211102056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分子生态学进展</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Progresses in Molecular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ECOL3211102014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分子生态学方法与技术</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Methods and techniques of molecular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ECOL3211102026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生物信息学分析—Linux/Perl/R基础</w:t>
            </w:r>
          </w:p>
          <w:p>
            <w:pPr>
              <w:pStyle w:val="40"/>
              <w:jc w:val="left"/>
              <w:rPr>
                <w:rFonts w:ascii="Times New Roman" w:hAnsi="Times New Roman" w:eastAsia="宋体" w:cs="Times New Roman"/>
                <w:kern w:val="2"/>
                <w:szCs w:val="18"/>
              </w:rPr>
            </w:pPr>
            <w:r>
              <w:rPr>
                <w:rFonts w:ascii="Times New Roman" w:hAnsi="Times New Roman" w:eastAsia="宋体" w:cs="Times New Roman"/>
                <w:kern w:val="2"/>
                <w:szCs w:val="18"/>
              </w:rPr>
              <w:t>Data Analyses in Bioinformatics - Learning Linux/Perl/R</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ECOL3211102039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保护生物学研究进展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Progresses in Conservation 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功能生态学专题讲座</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Seminars in Functional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功能生态学研究进展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Research Progresses in Functional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ECOL3211102020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克隆植物生态学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Clonal Plant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空间统计</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Spatial Statistics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ECOL3211102054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种群生态学研究进展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Progresses in Population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ECOL3421102003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动物行为学研究方法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Methods in Animal Behavior</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ECOL3421102001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动物保育生态学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Animal Conservation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ECOL3221102012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陆生动物生态学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Terrestrial Animal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进化基因组学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Evolutionary Genome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鸟类生态学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Avian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ECOL3211102048</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进化生物学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Evolutionary Biology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ECOL3411102002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行为生态学导论</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Introduction to Behavioral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BIOL3411102030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生态学理论与实践</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Theory and Practice of Basic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ECOL3411102003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动物生态学原理</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Principles of Animal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BIOL3411102036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野生动物疫源疫病与人类健康</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Zoonotic Diseases of Wild Animals &amp; Human Health</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ECOL3221102005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生态系统模型进展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Advances in Ecosystem Modeling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ECOL3211102050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全球变化生态学研究进展</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Progresses in Global Change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ECOL3221102010</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全球变化生态学前沿与热点</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Progresses in Global Change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ECOL3211102037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生态系统生态学研究方法Methods in Ecosystem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ECOL4211102001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系统生态学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System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ECOL3211102053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土壤生物学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The Biology of Soil</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GEOG4211102002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河口海岸遥感</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Remote Sensing of Estuaries and Coasts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ECOL4211102003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景观生态学</w:t>
            </w:r>
          </w:p>
          <w:p>
            <w:pPr>
              <w:pStyle w:val="40"/>
              <w:jc w:val="left"/>
              <w:rPr>
                <w:rFonts w:ascii="Times New Roman" w:hAnsi="Times New Roman" w:eastAsia="宋体" w:cs="Times New Roman"/>
                <w:color w:val="000000"/>
                <w:szCs w:val="18"/>
              </w:rPr>
            </w:pPr>
            <w:r>
              <w:rPr>
                <w:rFonts w:ascii="Times New Roman" w:hAnsi="Times New Roman" w:eastAsia="宋体" w:cs="Times New Roman"/>
                <w:color w:val="000000"/>
                <w:szCs w:val="18"/>
              </w:rPr>
              <w:t>Landscape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r>
              <w:rPr>
                <w:rFonts w:ascii="Times New Roman" w:hAnsi="Times New Roman" w:eastAsia="宋体" w:cs="Times New Roman"/>
                <w:color w:val="000000"/>
                <w:szCs w:val="18"/>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szCs w:val="18"/>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ECOL4211102002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湿地生态学与生态修复</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Wetland Ecology and Ecological Restoration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河口海岸水质模型</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Introduction to Water Quality Modeling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海岸动力学及其应用</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Coastal and Shelf Dynamics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河口海岸湿地生态</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Estuarine and Coastal Wetlands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近海海洋化学</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Maine Chemistry in Coast Sea</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沉积动力学原理</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Sediment Dynamics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陆海相互作用原理</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Fundamentals of Coastal and Estuarine Dynamics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MNSC4221102002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河口海岸模型</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Introduction to Modeling</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ENSE3211102042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高级城市生态学</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Advanced Urban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ECOL3221102007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大都市区生态空间恢复理论与技术前沿</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The Basic Concept and Technological Prospects for Eco-spatial Restoration in Metropolitan Areas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ECOL3211102019</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生态环境遥感</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Remote Sensing in Ecology and Environmental Science</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ECOL3211102036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污染生态学进展</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Progresses in Pollution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ECOL3211102021</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水生态恢复及工程实践</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Aquatic Ecosystem Restoration and Implementation</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ECOL3211102046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恢复生态学进展</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Progresses in Restoration 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ECOL3211102028</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群落生态与宏生态学进展</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Advances in Community ecology and Macroecology</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ME003211202028</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群落多元统计应用</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Applied Multivariate Statistics for Ecological Communities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ECOL3211102062</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生物入侵研究前沿</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Biological invasion：Frontiers and challenges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bookmarkStart w:id="1" w:name="OLE_LINK8"/>
            <w:bookmarkStart w:id="2" w:name="OLE_LINK9"/>
            <w:r>
              <w:rPr>
                <w:rFonts w:ascii="Times New Roman" w:hAnsi="Times New Roman" w:eastAsia="宋体" w:cs="Times New Roman"/>
                <w:color w:val="000000"/>
              </w:rPr>
              <w:t>/</w:t>
            </w:r>
            <w:bookmarkEnd w:id="1"/>
            <w:bookmarkEnd w:id="2"/>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highlight w:val="yellow"/>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highlight w:val="yellow"/>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ECOL3211102067</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高级森林病害学理论与实践</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Advanced Forest Pathology: Theories and Practices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ECOL3211102063</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微生物组学分析</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Microbiome analysis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春</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ECOL3211102064</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生态杂志俱乐部：像专业人士一样出席和讨论</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Ecology Journal Club: Present and discuss like a professional</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hint="eastAsia"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hint="eastAsia"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ECOL3211102065</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微生物生态学：理论与方法</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Microbial Ecology: Theories and Methods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right w:val="single" w:color="auto" w:sz="6" w:space="0"/>
            </w:tcBorders>
            <w:vAlign w:val="center"/>
          </w:tcPr>
          <w:p>
            <w:pPr>
              <w:jc w:val="center"/>
              <w:rPr>
                <w:szCs w:val="21"/>
              </w:rPr>
            </w:pPr>
          </w:p>
        </w:tc>
        <w:tc>
          <w:tcPr>
            <w:tcW w:w="162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ECOL3211102066</w:t>
            </w:r>
          </w:p>
        </w:tc>
        <w:tc>
          <w:tcPr>
            <w:tcW w:w="3901" w:type="dxa"/>
            <w:tcBorders>
              <w:top w:val="single" w:color="auto" w:sz="6" w:space="0"/>
              <w:left w:val="single" w:color="auto" w:sz="6" w:space="0"/>
              <w:bottom w:val="single" w:color="auto" w:sz="6" w:space="0"/>
              <w:right w:val="single" w:color="auto" w:sz="6" w:space="0"/>
            </w:tcBorders>
            <w:vAlign w:val="center"/>
          </w:tcPr>
          <w:p>
            <w:pPr>
              <w:pStyle w:val="40"/>
              <w:jc w:val="left"/>
              <w:rPr>
                <w:rFonts w:ascii="Times New Roman" w:hAnsi="Times New Roman" w:eastAsia="宋体" w:cs="Times New Roman"/>
                <w:color w:val="000000"/>
              </w:rPr>
            </w:pPr>
            <w:r>
              <w:rPr>
                <w:rFonts w:ascii="Times New Roman" w:hAnsi="Times New Roman" w:eastAsia="宋体" w:cs="Times New Roman"/>
                <w:color w:val="000000"/>
              </w:rPr>
              <w:t>微生物生态学：实验室课程</w:t>
            </w:r>
          </w:p>
          <w:p>
            <w:pPr>
              <w:pStyle w:val="40"/>
              <w:jc w:val="left"/>
              <w:rPr>
                <w:rFonts w:ascii="Times New Roman" w:hAnsi="Times New Roman" w:eastAsia="宋体" w:cs="Times New Roman"/>
                <w:color w:val="000000"/>
              </w:rPr>
            </w:pPr>
            <w:r>
              <w:rPr>
                <w:rFonts w:ascii="Times New Roman" w:hAnsi="Times New Roman" w:eastAsia="宋体" w:cs="Times New Roman"/>
                <w:color w:val="000000"/>
              </w:rPr>
              <w:t>Microbial Ecology: Lab class</w:t>
            </w:r>
          </w:p>
        </w:tc>
        <w:tc>
          <w:tcPr>
            <w:tcW w:w="567"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708" w:type="dxa"/>
            <w:tcBorders>
              <w:top w:val="single" w:color="auto" w:sz="6" w:space="0"/>
              <w:left w:val="single" w:color="auto" w:sz="6" w:space="0"/>
              <w:bottom w:val="single" w:color="auto" w:sz="6" w:space="0"/>
              <w:right w:val="single" w:color="auto" w:sz="6" w:space="0"/>
            </w:tcBorders>
            <w:vAlign w:val="center"/>
          </w:tcPr>
          <w:p>
            <w:pPr>
              <w:pStyle w:val="40"/>
              <w:jc w:val="center"/>
              <w:rPr>
                <w:rFonts w:ascii="Times New Roman" w:hAnsi="Times New Roman" w:eastAsia="宋体" w:cs="Times New Roman"/>
                <w:color w:val="000000"/>
              </w:rPr>
            </w:pPr>
            <w:r>
              <w:rPr>
                <w:rFonts w:ascii="Times New Roman" w:hAnsi="Times New Roman" w:eastAsia="宋体" w:cs="Times New Roman"/>
                <w:color w:val="000000"/>
              </w:rPr>
              <w:t>秋</w:t>
            </w:r>
          </w:p>
        </w:tc>
        <w:tc>
          <w:tcPr>
            <w:tcW w:w="709"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1"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c>
          <w:tcPr>
            <w:tcW w:w="850" w:type="dxa"/>
            <w:tcBorders>
              <w:top w:val="single" w:color="auto" w:sz="6" w:space="0"/>
              <w:left w:val="single" w:color="auto" w:sz="6" w:space="0"/>
              <w:bottom w:val="single" w:color="auto" w:sz="6" w:space="0"/>
              <w:right w:val="single" w:color="auto" w:sz="4" w:space="0"/>
            </w:tcBorders>
            <w:vAlign w:val="center"/>
          </w:tcPr>
          <w:p>
            <w:pPr>
              <w:pStyle w:val="40"/>
              <w:jc w:val="center"/>
              <w:rPr>
                <w:rFonts w:ascii="Times New Roman" w:hAnsi="Times New Roman" w:eastAsia="宋体" w:cs="Times New Roman"/>
                <w:color w:val="000000"/>
              </w:rPr>
            </w:pP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jc w:val="center"/>
              <w:rPr>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ind w:firstLine="904" w:firstLineChars="500"/>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 普博生≥ 2 学分；硕博生/本博生≥4学分</w:t>
            </w:r>
          </w:p>
        </w:tc>
      </w:tr>
      <w:tr>
        <w:tblPrEx>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6" w:space="0"/>
            </w:tcBorders>
            <w:vAlign w:val="center"/>
          </w:tcPr>
          <w:p>
            <w:pPr>
              <w:jc w:val="center"/>
              <w:rPr>
                <w:b/>
                <w:szCs w:val="21"/>
              </w:rPr>
            </w:pPr>
            <w:r>
              <w:rPr>
                <w:rFonts w:hint="eastAsia"/>
                <w:b/>
                <w:szCs w:val="21"/>
              </w:rPr>
              <w:t>跨一级学科课程</w:t>
            </w:r>
          </w:p>
        </w:tc>
        <w:tc>
          <w:tcPr>
            <w:tcW w:w="1628" w:type="dxa"/>
            <w:tcBorders>
              <w:top w:val="single" w:color="auto" w:sz="6" w:space="0"/>
              <w:left w:val="single" w:color="auto" w:sz="6" w:space="0"/>
              <w:bottom w:val="single" w:color="auto" w:sz="6" w:space="0"/>
              <w:right w:val="single" w:color="auto" w:sz="6" w:space="0"/>
            </w:tcBorders>
          </w:tcPr>
          <w:p>
            <w:pPr>
              <w:rPr>
                <w:rFonts w:ascii="Times New Roman" w:hAnsi="Times New Roman" w:cs="Times New Roman"/>
                <w:sz w:val="18"/>
                <w:szCs w:val="18"/>
              </w:rPr>
            </w:pPr>
          </w:p>
        </w:tc>
        <w:tc>
          <w:tcPr>
            <w:tcW w:w="390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 xml:space="preserve">跨一级学科选修课1 </w:t>
            </w:r>
          </w:p>
        </w:tc>
        <w:tc>
          <w:tcPr>
            <w:tcW w:w="567"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p>
        </w:tc>
        <w:tc>
          <w:tcPr>
            <w:tcW w:w="70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szCs w:val="21"/>
              </w:rPr>
            </w:pPr>
          </w:p>
        </w:tc>
        <w:tc>
          <w:tcPr>
            <w:tcW w:w="709"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c>
          <w:tcPr>
            <w:tcW w:w="851"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c>
          <w:tcPr>
            <w:tcW w:w="850" w:type="dxa"/>
            <w:tcBorders>
              <w:top w:val="single" w:color="auto" w:sz="4"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sz w:val="18"/>
                <w:szCs w:val="18"/>
              </w:rPr>
              <w:t>必选</w:t>
            </w:r>
          </w:p>
        </w:tc>
      </w:tr>
      <w:tr>
        <w:tblPrEx>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6" w:space="0"/>
            </w:tcBorders>
            <w:vAlign w:val="center"/>
          </w:tcPr>
          <w:p>
            <w:pPr>
              <w:jc w:val="center"/>
              <w:rPr>
                <w:b/>
                <w:szCs w:val="21"/>
              </w:rPr>
            </w:pPr>
          </w:p>
        </w:tc>
        <w:tc>
          <w:tcPr>
            <w:tcW w:w="9214" w:type="dxa"/>
            <w:gridSpan w:val="7"/>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b/>
                <w:sz w:val="18"/>
                <w:szCs w:val="18"/>
              </w:rPr>
              <w:t>学分要求</w:t>
            </w:r>
            <w:r>
              <w:rPr>
                <w:rFonts w:ascii="Times New Roman" w:hAnsi="Times New Roman" w:cs="Times New Roman"/>
                <w:sz w:val="18"/>
                <w:szCs w:val="18"/>
              </w:rPr>
              <w:t>：普博生/硕博生/本博生≥2学分</w:t>
            </w:r>
          </w:p>
        </w:tc>
      </w:tr>
      <w:tr>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6" w:space="0"/>
            </w:tcBorders>
            <w:vAlign w:val="center"/>
          </w:tcPr>
          <w:p>
            <w:pPr>
              <w:jc w:val="center"/>
              <w:rPr>
                <w:b/>
                <w:szCs w:val="21"/>
              </w:rPr>
            </w:pPr>
            <w:r>
              <w:rPr>
                <w:rFonts w:hint="eastAsia"/>
                <w:b/>
                <w:szCs w:val="21"/>
              </w:rPr>
              <w:t>非学位</w:t>
            </w:r>
            <w:r>
              <w:rPr>
                <w:b/>
                <w:szCs w:val="21"/>
              </w:rPr>
              <w:t>课程</w:t>
            </w:r>
          </w:p>
        </w:tc>
        <w:tc>
          <w:tcPr>
            <w:tcW w:w="9214" w:type="dxa"/>
            <w:gridSpan w:val="7"/>
            <w:tcBorders>
              <w:top w:val="single" w:color="auto" w:sz="6" w:space="0"/>
              <w:left w:val="single" w:color="auto" w:sz="6" w:space="0"/>
              <w:bottom w:val="single" w:color="auto" w:sz="6" w:space="0"/>
              <w:right w:val="single" w:color="auto" w:sz="4" w:space="0"/>
            </w:tcBorders>
          </w:tcPr>
          <w:p>
            <w:pPr>
              <w:jc w:val="center"/>
              <w:rPr>
                <w:rFonts w:ascii="Times New Roman" w:hAnsi="Times New Roman" w:cs="Times New Roman"/>
                <w:szCs w:val="21"/>
              </w:rPr>
            </w:pPr>
            <w:r>
              <w:rPr>
                <w:rFonts w:ascii="Times New Roman" w:hAnsi="Times New Roman" w:cs="Times New Roman"/>
                <w:color w:val="000000"/>
                <w:sz w:val="18"/>
                <w:szCs w:val="18"/>
              </w:rPr>
              <w:t>修读培养方案要求以外的课程，如补修本专业本科课程等，不计入培养方案总学分。</w:t>
            </w:r>
          </w:p>
        </w:tc>
      </w:tr>
      <w:tr>
        <w:tblPrEx>
          <w:tblCellMar>
            <w:top w:w="0" w:type="dxa"/>
            <w:left w:w="108" w:type="dxa"/>
            <w:bottom w:w="0" w:type="dxa"/>
            <w:right w:w="108" w:type="dxa"/>
          </w:tblCellMar>
        </w:tblPrEx>
        <w:trPr>
          <w:jc w:val="center"/>
        </w:trPr>
        <w:tc>
          <w:tcPr>
            <w:tcW w:w="2337" w:type="dxa"/>
            <w:gridSpan w:val="2"/>
            <w:vMerge w:val="restart"/>
            <w:tcBorders>
              <w:top w:val="single" w:color="auto" w:sz="4" w:space="0"/>
              <w:left w:val="single" w:color="auto" w:sz="4"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b/>
                <w:szCs w:val="21"/>
              </w:rPr>
              <w:t>总学分</w:t>
            </w:r>
          </w:p>
        </w:tc>
        <w:tc>
          <w:tcPr>
            <w:tcW w:w="3901" w:type="dxa"/>
            <w:tcBorders>
              <w:top w:val="single" w:color="auto" w:sz="6"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普通博士研究生</w:t>
            </w:r>
          </w:p>
        </w:tc>
        <w:tc>
          <w:tcPr>
            <w:tcW w:w="3685" w:type="dxa"/>
            <w:gridSpan w:val="5"/>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≥15学分</w:t>
            </w:r>
          </w:p>
        </w:tc>
      </w:tr>
      <w:tr>
        <w:tblPrEx>
          <w:tblCellMar>
            <w:top w:w="0" w:type="dxa"/>
            <w:left w:w="108" w:type="dxa"/>
            <w:bottom w:w="0" w:type="dxa"/>
            <w:right w:w="108" w:type="dxa"/>
          </w:tblCellMar>
        </w:tblPrEx>
        <w:trPr>
          <w:jc w:val="center"/>
        </w:trPr>
        <w:tc>
          <w:tcPr>
            <w:tcW w:w="2337" w:type="dxa"/>
            <w:gridSpan w:val="2"/>
            <w:vMerge w:val="continue"/>
            <w:tcBorders>
              <w:left w:val="single" w:color="auto" w:sz="4" w:space="0"/>
              <w:bottom w:val="single" w:color="auto" w:sz="4" w:space="0"/>
              <w:right w:val="single" w:color="auto" w:sz="6" w:space="0"/>
            </w:tcBorders>
            <w:vAlign w:val="center"/>
          </w:tcPr>
          <w:p>
            <w:pPr>
              <w:rPr>
                <w:rFonts w:ascii="Times New Roman" w:hAnsi="Times New Roman" w:cs="Times New Roman"/>
                <w:sz w:val="18"/>
                <w:szCs w:val="18"/>
              </w:rPr>
            </w:pPr>
          </w:p>
        </w:tc>
        <w:tc>
          <w:tcPr>
            <w:tcW w:w="3901" w:type="dxa"/>
            <w:tcBorders>
              <w:top w:val="single" w:color="auto" w:sz="6" w:space="0"/>
              <w:left w:val="single" w:color="auto" w:sz="6" w:space="0"/>
              <w:bottom w:val="single" w:color="auto" w:sz="4"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硕博连读研究生</w:t>
            </w:r>
          </w:p>
        </w:tc>
        <w:tc>
          <w:tcPr>
            <w:tcW w:w="3685" w:type="dxa"/>
            <w:gridSpan w:val="5"/>
            <w:tcBorders>
              <w:top w:val="single" w:color="auto" w:sz="6" w:space="0"/>
              <w:left w:val="single" w:color="auto" w:sz="6" w:space="0"/>
              <w:bottom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≥25学分</w:t>
            </w:r>
          </w:p>
        </w:tc>
      </w:tr>
      <w:tr>
        <w:tblPrEx>
          <w:tblCellMar>
            <w:top w:w="0" w:type="dxa"/>
            <w:left w:w="108" w:type="dxa"/>
            <w:bottom w:w="0" w:type="dxa"/>
            <w:right w:w="108" w:type="dxa"/>
          </w:tblCellMar>
        </w:tblPrEx>
        <w:trPr>
          <w:jc w:val="center"/>
        </w:trPr>
        <w:tc>
          <w:tcPr>
            <w:tcW w:w="2337" w:type="dxa"/>
            <w:gridSpan w:val="2"/>
            <w:vMerge w:val="continue"/>
            <w:tcBorders>
              <w:top w:val="single" w:color="auto" w:sz="4" w:space="0"/>
              <w:left w:val="single" w:color="auto" w:sz="4" w:space="0"/>
              <w:bottom w:val="single" w:color="auto" w:sz="4" w:space="0"/>
              <w:right w:val="single" w:color="auto" w:sz="6" w:space="0"/>
            </w:tcBorders>
            <w:vAlign w:val="center"/>
          </w:tcPr>
          <w:p>
            <w:pPr>
              <w:rPr>
                <w:rFonts w:ascii="Times New Roman" w:hAnsi="Times New Roman" w:cs="Times New Roman"/>
                <w:sz w:val="18"/>
                <w:szCs w:val="18"/>
              </w:rPr>
            </w:pPr>
          </w:p>
        </w:tc>
        <w:tc>
          <w:tcPr>
            <w:tcW w:w="3901" w:type="dxa"/>
            <w:tcBorders>
              <w:top w:val="single" w:color="auto" w:sz="4" w:space="0"/>
              <w:left w:val="single" w:color="auto" w:sz="6" w:space="0"/>
              <w:bottom w:val="single" w:color="auto" w:sz="6" w:space="0"/>
              <w:right w:val="single" w:color="auto" w:sz="6" w:space="0"/>
            </w:tcBorders>
            <w:vAlign w:val="center"/>
          </w:tcPr>
          <w:p>
            <w:pPr>
              <w:rPr>
                <w:rFonts w:ascii="Times New Roman" w:hAnsi="Times New Roman" w:cs="Times New Roman"/>
                <w:sz w:val="18"/>
                <w:szCs w:val="18"/>
              </w:rPr>
            </w:pPr>
            <w:r>
              <w:rPr>
                <w:rFonts w:ascii="Times New Roman" w:hAnsi="Times New Roman" w:cs="Times New Roman"/>
                <w:sz w:val="18"/>
                <w:szCs w:val="18"/>
              </w:rPr>
              <w:t>本科直博研究生</w:t>
            </w:r>
          </w:p>
        </w:tc>
        <w:tc>
          <w:tcPr>
            <w:tcW w:w="3685" w:type="dxa"/>
            <w:gridSpan w:val="5"/>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 w:val="18"/>
                <w:szCs w:val="18"/>
              </w:rPr>
              <w:t>≥24学分</w:t>
            </w:r>
          </w:p>
        </w:tc>
      </w:tr>
    </w:tbl>
    <w:p>
      <w:pPr>
        <w:ind w:firstLine="360" w:firstLineChars="200"/>
        <w:rPr>
          <w:sz w:val="18"/>
          <w:szCs w:val="18"/>
        </w:rPr>
      </w:pPr>
      <w:r>
        <w:rPr>
          <w:rFonts w:hint="eastAsia"/>
          <w:sz w:val="18"/>
          <w:szCs w:val="18"/>
        </w:rPr>
        <w:t>注：“/”为博士研究生不可选课程，应为硕士阶段修读课程。</w:t>
      </w:r>
    </w:p>
    <w:p>
      <w:pPr>
        <w:ind w:firstLine="360" w:firstLineChars="200"/>
        <w:rPr>
          <w:sz w:val="18"/>
          <w:szCs w:val="18"/>
        </w:rPr>
      </w:pPr>
    </w:p>
    <w:p>
      <w:pPr>
        <w:ind w:firstLine="360" w:firstLineChars="200"/>
        <w:rPr>
          <w:sz w:val="18"/>
          <w:szCs w:val="18"/>
        </w:rPr>
      </w:pPr>
    </w:p>
    <w:p>
      <w:pPr>
        <w:ind w:firstLine="360" w:firstLineChars="200"/>
        <w:rPr>
          <w:sz w:val="18"/>
          <w:szCs w:val="18"/>
        </w:rPr>
      </w:pPr>
    </w:p>
    <w:p>
      <w:pPr>
        <w:ind w:firstLine="480" w:firstLineChars="200"/>
        <w:rPr>
          <w:rFonts w:cs="Times New Roman"/>
          <w:szCs w:val="21"/>
        </w:rPr>
      </w:pPr>
      <w:r>
        <w:rPr>
          <w:rFonts w:hint="eastAsia" w:ascii="黑体" w:hAnsi="黑体" w:eastAsia="黑体" w:cs="Times New Roman"/>
        </w:rPr>
        <w:t>七、培养环节考核</w:t>
      </w:r>
      <w:r>
        <w:rPr>
          <w:rFonts w:hint="eastAsia" w:cs="Times New Roman"/>
          <w:szCs w:val="21"/>
        </w:rPr>
        <w:t xml:space="preserve"> </w:t>
      </w:r>
    </w:p>
    <w:p>
      <w:pPr>
        <w:spacing w:before="156" w:beforeLines="50" w:after="156" w:afterLines="50"/>
        <w:ind w:firstLine="420" w:firstLineChars="200"/>
        <w:rPr>
          <w:rFonts w:cs="Times New Roman"/>
          <w:szCs w:val="21"/>
        </w:rPr>
      </w:pPr>
      <w:r>
        <w:rPr>
          <w:rFonts w:hint="eastAsia" w:cs="Times New Roman"/>
          <w:sz w:val="21"/>
          <w:szCs w:val="21"/>
        </w:rPr>
        <w:t>博士研究生培养环节包括年度报告、资格考试、开题报告、科研训练及学术活动、中期考核及论文预答辩，各环节考核时间安排详见下表（硕博连读一般为二年级申请，如果三年级申请硕转博学生，相应考核环节将顺延一年），各院系可结合自身情况适当调整各环节考核时间和考核方式。</w:t>
      </w:r>
    </w:p>
    <w:tbl>
      <w:tblPr>
        <w:tblStyle w:val="15"/>
        <w:tblpPr w:leftFromText="180" w:rightFromText="180" w:vertAnchor="text" w:horzAnchor="margin" w:tblpXSpec="center" w:tblpY="22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562"/>
        <w:gridCol w:w="701"/>
        <w:gridCol w:w="701"/>
        <w:gridCol w:w="977"/>
        <w:gridCol w:w="701"/>
        <w:gridCol w:w="977"/>
        <w:gridCol w:w="977"/>
        <w:gridCol w:w="977"/>
        <w:gridCol w:w="701"/>
        <w:gridCol w:w="701"/>
        <w:gridCol w:w="563"/>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rPr>
                <w:rFonts w:ascii="宋体" w:hAnsi="宋体" w:eastAsia="宋体"/>
                <w:b/>
                <w:color w:val="0D0D0D"/>
              </w:rPr>
            </w:pPr>
            <w:r>
              <w:rPr>
                <w:rFonts w:hint="eastAsia" w:ascii="宋体" w:hAnsi="宋体" w:eastAsia="宋体"/>
                <w:b/>
                <w:color w:val="0D0D0D"/>
              </w:rPr>
              <w:t>学期</w:t>
            </w:r>
          </w:p>
        </w:tc>
        <w:tc>
          <w:tcPr>
            <w:tcW w:w="562"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一</w:t>
            </w:r>
          </w:p>
        </w:tc>
        <w:tc>
          <w:tcPr>
            <w:tcW w:w="701"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二</w:t>
            </w:r>
          </w:p>
        </w:tc>
        <w:tc>
          <w:tcPr>
            <w:tcW w:w="701"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三</w:t>
            </w:r>
          </w:p>
        </w:tc>
        <w:tc>
          <w:tcPr>
            <w:tcW w:w="977"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四</w:t>
            </w:r>
          </w:p>
        </w:tc>
        <w:tc>
          <w:tcPr>
            <w:tcW w:w="701"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五</w:t>
            </w:r>
          </w:p>
        </w:tc>
        <w:tc>
          <w:tcPr>
            <w:tcW w:w="977"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六</w:t>
            </w:r>
          </w:p>
        </w:tc>
        <w:tc>
          <w:tcPr>
            <w:tcW w:w="977"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七</w:t>
            </w:r>
          </w:p>
        </w:tc>
        <w:tc>
          <w:tcPr>
            <w:tcW w:w="977"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八</w:t>
            </w:r>
          </w:p>
        </w:tc>
        <w:tc>
          <w:tcPr>
            <w:tcW w:w="701"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九</w:t>
            </w:r>
          </w:p>
        </w:tc>
        <w:tc>
          <w:tcPr>
            <w:tcW w:w="701"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十</w:t>
            </w:r>
          </w:p>
        </w:tc>
        <w:tc>
          <w:tcPr>
            <w:tcW w:w="563"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十一</w:t>
            </w:r>
          </w:p>
        </w:tc>
        <w:tc>
          <w:tcPr>
            <w:tcW w:w="563" w:type="dxa"/>
            <w:tcBorders>
              <w:top w:val="single" w:color="4472C4" w:sz="2" w:space="0"/>
              <w:left w:val="single" w:color="4472C4" w:sz="2" w:space="0"/>
              <w:bottom w:val="single" w:color="4472C4" w:sz="2" w:space="0"/>
              <w:right w:val="single" w:color="4472C4" w:sz="2" w:space="0"/>
            </w:tcBorders>
            <w:shd w:val="clear" w:color="auto" w:fill="8EAADB"/>
            <w:vAlign w:val="center"/>
          </w:tcPr>
          <w:p>
            <w:pPr>
              <w:pStyle w:val="40"/>
              <w:jc w:val="center"/>
              <w:rPr>
                <w:rFonts w:ascii="宋体" w:hAnsi="宋体" w:eastAsia="宋体"/>
                <w:b/>
                <w:color w:val="0D0D0D"/>
              </w:rPr>
            </w:pPr>
            <w:r>
              <w:rPr>
                <w:rFonts w:hint="eastAsia" w:ascii="宋体" w:hAnsi="宋体" w:eastAsia="宋体"/>
                <w:b/>
                <w:color w:val="0D0D0D"/>
              </w:rPr>
              <w:t>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普</w:t>
            </w:r>
          </w:p>
          <w:p>
            <w:pPr>
              <w:pStyle w:val="40"/>
              <w:jc w:val="center"/>
              <w:rPr>
                <w:rFonts w:ascii="宋体" w:hAnsi="宋体" w:eastAsia="宋体"/>
                <w:color w:val="000000"/>
              </w:rPr>
            </w:pPr>
            <w:r>
              <w:rPr>
                <w:rFonts w:hint="eastAsia" w:ascii="宋体" w:hAnsi="宋体" w:eastAsia="宋体"/>
                <w:color w:val="000000"/>
              </w:rPr>
              <w:t>博</w:t>
            </w:r>
          </w:p>
          <w:p>
            <w:pPr>
              <w:pStyle w:val="40"/>
              <w:jc w:val="center"/>
              <w:rPr>
                <w:rFonts w:ascii="宋体" w:hAnsi="宋体" w:eastAsia="宋体"/>
                <w:color w:val="000000"/>
              </w:rPr>
            </w:pPr>
            <w:r>
              <w:rPr>
                <w:rFonts w:hint="eastAsia" w:ascii="宋体" w:hAnsi="宋体" w:eastAsia="宋体"/>
                <w:color w:val="000000"/>
              </w:rPr>
              <w:t>生</w:t>
            </w:r>
          </w:p>
        </w:tc>
        <w:tc>
          <w:tcPr>
            <w:tcW w:w="562"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资格考试年度考核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开题报告学术活动中期考核</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预答辩</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硕</w:t>
            </w:r>
          </w:p>
          <w:p>
            <w:pPr>
              <w:pStyle w:val="40"/>
              <w:jc w:val="center"/>
              <w:rPr>
                <w:rFonts w:ascii="宋体" w:hAnsi="宋体" w:eastAsia="宋体"/>
                <w:color w:val="000000"/>
              </w:rPr>
            </w:pPr>
            <w:r>
              <w:rPr>
                <w:rFonts w:hint="eastAsia" w:ascii="宋体" w:hAnsi="宋体" w:eastAsia="宋体"/>
                <w:color w:val="000000"/>
              </w:rPr>
              <w:t>博</w:t>
            </w:r>
          </w:p>
          <w:p>
            <w:pPr>
              <w:pStyle w:val="40"/>
              <w:jc w:val="center"/>
              <w:rPr>
                <w:rFonts w:ascii="宋体" w:hAnsi="宋体" w:eastAsia="宋体"/>
                <w:color w:val="000000"/>
              </w:rPr>
            </w:pPr>
            <w:r>
              <w:rPr>
                <w:rFonts w:hint="eastAsia" w:ascii="宋体" w:hAnsi="宋体" w:eastAsia="宋体"/>
                <w:color w:val="000000"/>
              </w:rPr>
              <w:t>生</w:t>
            </w:r>
          </w:p>
        </w:tc>
        <w:tc>
          <w:tcPr>
            <w:tcW w:w="562"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硕士</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硕士</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硕士</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硕士</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资格考试年度考核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开题报告学术活动中期考核</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预答辩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直</w:t>
            </w:r>
          </w:p>
          <w:p>
            <w:pPr>
              <w:pStyle w:val="40"/>
              <w:jc w:val="center"/>
              <w:rPr>
                <w:rFonts w:ascii="宋体" w:hAnsi="宋体" w:eastAsia="宋体"/>
                <w:color w:val="000000"/>
              </w:rPr>
            </w:pPr>
            <w:r>
              <w:rPr>
                <w:rFonts w:hint="eastAsia" w:ascii="宋体" w:hAnsi="宋体" w:eastAsia="宋体"/>
                <w:color w:val="000000"/>
              </w:rPr>
              <w:t>博</w:t>
            </w:r>
          </w:p>
          <w:p>
            <w:pPr>
              <w:pStyle w:val="40"/>
              <w:jc w:val="center"/>
              <w:rPr>
                <w:rFonts w:ascii="宋体" w:hAnsi="宋体" w:eastAsia="宋体"/>
                <w:color w:val="000000"/>
              </w:rPr>
            </w:pPr>
            <w:r>
              <w:rPr>
                <w:rFonts w:hint="eastAsia" w:ascii="宋体" w:hAnsi="宋体" w:eastAsia="宋体"/>
                <w:color w:val="000000"/>
              </w:rPr>
              <w:t>生</w:t>
            </w:r>
          </w:p>
        </w:tc>
        <w:tc>
          <w:tcPr>
            <w:tcW w:w="562"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资格考试年度考核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开题报告学术活动中期考核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977"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年度</w:t>
            </w:r>
          </w:p>
          <w:p>
            <w:pPr>
              <w:pStyle w:val="40"/>
              <w:jc w:val="center"/>
              <w:rPr>
                <w:rFonts w:ascii="宋体" w:hAnsi="宋体" w:eastAsia="宋体"/>
                <w:color w:val="000000"/>
              </w:rPr>
            </w:pPr>
            <w:r>
              <w:rPr>
                <w:rFonts w:hint="eastAsia" w:ascii="宋体" w:hAnsi="宋体" w:eastAsia="宋体"/>
                <w:color w:val="000000"/>
              </w:rPr>
              <w:t>考核</w:t>
            </w:r>
          </w:p>
        </w:tc>
        <w:tc>
          <w:tcPr>
            <w:tcW w:w="701"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预答辩</w:t>
            </w: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c>
          <w:tcPr>
            <w:tcW w:w="56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3" w:type="dxa"/>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rPr>
                <w:color w:val="000000"/>
              </w:rPr>
            </w:pPr>
          </w:p>
        </w:tc>
        <w:tc>
          <w:tcPr>
            <w:tcW w:w="9101" w:type="dxa"/>
            <w:gridSpan w:val="12"/>
            <w:tcBorders>
              <w:top w:val="single" w:color="4472C4" w:sz="2" w:space="0"/>
              <w:left w:val="single" w:color="4472C4" w:sz="2" w:space="0"/>
              <w:bottom w:val="single" w:color="4472C4" w:sz="2" w:space="0"/>
              <w:right w:val="single" w:color="4472C4" w:sz="2" w:space="0"/>
            </w:tcBorders>
            <w:shd w:val="clear" w:color="auto" w:fill="FFFFFF"/>
            <w:vAlign w:val="center"/>
          </w:tcPr>
          <w:p>
            <w:pPr>
              <w:pStyle w:val="40"/>
              <w:jc w:val="center"/>
              <w:rPr>
                <w:rFonts w:ascii="宋体" w:hAnsi="宋体" w:eastAsia="宋体"/>
                <w:color w:val="000000"/>
              </w:rPr>
            </w:pPr>
            <w:r>
              <w:rPr>
                <w:rFonts w:hint="eastAsia" w:ascii="宋体" w:hAnsi="宋体" w:eastAsia="宋体"/>
                <w:color w:val="000000"/>
              </w:rPr>
              <w:t>科研训练贯穿始终</w:t>
            </w:r>
          </w:p>
        </w:tc>
      </w:tr>
    </w:tbl>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1.</w:t>
      </w:r>
      <w:r>
        <w:rPr>
          <w:rFonts w:ascii="黑体" w:hAnsi="黑体" w:eastAsia="黑体" w:cs="Times New Roman"/>
          <w:sz w:val="21"/>
          <w:szCs w:val="21"/>
        </w:rPr>
        <w:t>年度报告</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（1）考核</w:t>
      </w:r>
      <w:r>
        <w:rPr>
          <w:rFonts w:hint="eastAsia" w:ascii="Times New Roman" w:hAnsi="Times New Roman" w:cs="Times New Roman"/>
          <w:sz w:val="21"/>
          <w:szCs w:val="21"/>
        </w:rPr>
        <w:t>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取得博士学籍第二年开始，每年的10-11月份开展年度考核。</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博士研究生向导师及指导小组汇报一年来的学习与科研进展，填写《华东师范大学博士研究生学习与科研年度报告表》，经指导小组、所在单位签署意见后报研究生院备案。年度考核以PPT形式汇报，每人每次不少于20分钟。为避免重复汇报，当年有资格考试时，年度考核仅需填写《华东师范大学博士研究生学习与科研年度报告表》。</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（2）考核结果及分流说明</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考核结果分为优秀、通过和暂缓通过，其中暂缓通过的比例原则上不少于10%。暂缓通过者，须在3个月内再次向考核小组汇报，再次汇报仍未通过者，培养单位、考核小组和导师共同决定其是否适合继续攻读博士学位。对考试结果质疑者在考试结果公布一周内可向所在培养单位提出申诉。</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2.</w:t>
      </w:r>
      <w:r>
        <w:rPr>
          <w:rFonts w:ascii="黑体" w:hAnsi="黑体" w:eastAsia="黑体" w:cs="Times New Roman"/>
          <w:sz w:val="21"/>
          <w:szCs w:val="21"/>
        </w:rPr>
        <w:t>资格考试</w:t>
      </w:r>
    </w:p>
    <w:p>
      <w:pPr>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准入条件</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博士研究生在课程学习结束，修满本专业规定的学分后，方可申请参加资格考试。</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普博生、硕博生（取得博士学籍后开始算）一般在第二学年第一学期进行，直博生一般在第三学年第一学期进行。因特殊情况未能按时参加者，经院系批准后，报研究生院备案。</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资格考试由院系统一组织，各院系应成立资格考试委员会，资格考试委员会由分委会指定至少5名博士生导师或具有正高级专业技术职务的专家组成，设主任1名，另设秘书1名。生态学专业资格考试以二级学科为单位开展，设立资格考试小组，由导师在内的5名博士生导师或具有正高级专业技术职务的专家组成，</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资格考试包括基础理论和专业知识以及前沿知识、主要研究方法和手段，由本专业博士学位候选人资格考试小组进行考核。资格考试包括笔试和综合考试两部分，其中笔试成绩占30%，综合考试成绩占70%。</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笔试</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撰写一篇关于拟开展的博士论文研究领域的综述。需要包括以下主要方面：研究主题的理论背景、研究取得的进展、主要学术观点、存在的主要研究不足和期待解决的重点问题等，不少于4000字。在规定时间前提交给导师，由导师打分作为笔试成绩（满分100分计）。</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综合考试</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综合考试采用PPT汇报答辩的形式，其中汇报20分钟，考试小组专家提问10分钟。汇报应包括以下内容：在读期间所参与研究课题的内容，博士论文开题的准备和（或）研究进度，博士论文研究相关的实验设计和现代科学技术手段的使用情况，所受的写作、统计和逻辑能力训练及进一步的学习计划等。此部分成绩由考试小组专家给予评分（满分100分计）。</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总成绩=笔试×30%+综合考试×70%。</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考试委员会根据博士生的考试成绩做出评价并写出评语，由学位点责任教授签署意见，最终确定其是否通过考试。考试结果于考试结束后两周内公布，并报研究生院备案。</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（3）考核结果</w:t>
      </w:r>
      <w:r>
        <w:rPr>
          <w:rFonts w:hint="eastAsia" w:ascii="Times New Roman" w:hAnsi="Times New Roman" w:cs="Times New Roman"/>
          <w:sz w:val="21"/>
          <w:szCs w:val="21"/>
        </w:rPr>
        <w:t>及分流</w:t>
      </w:r>
      <w:r>
        <w:rPr>
          <w:rFonts w:ascii="Times New Roman" w:hAnsi="Times New Roman" w:cs="Times New Roman"/>
          <w:sz w:val="21"/>
          <w:szCs w:val="21"/>
        </w:rPr>
        <w:t>说明</w:t>
      </w:r>
    </w:p>
    <w:p>
      <w:pPr>
        <w:pStyle w:val="33"/>
        <w:spacing w:line="240" w:lineRule="auto"/>
        <w:ind w:firstLineChars="0"/>
        <w:rPr>
          <w:rFonts w:ascii="Times New Roman" w:hAnsi="Times New Roman" w:cs="Times New Roman"/>
          <w:sz w:val="21"/>
        </w:rPr>
      </w:pPr>
      <w:r>
        <w:rPr>
          <w:rFonts w:ascii="Times New Roman" w:hAnsi="Times New Roman" w:cs="Times New Roman"/>
          <w:sz w:val="21"/>
        </w:rPr>
        <w:t>资格考试的结果分为通过和不通过。</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资格考试通过者成为博士学位候选人，进入学位论文开题和撰写阶段。</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资格考试中，第一次未通过者，6个月后可参加第二次资格考试。第二次仍未通过者(含主动放弃者)，普博生按肄业处理；直博生、硕博生可申请转为同专业硕士生培养，且须至少学习1年，通过硕士论文答辩，达到学位授予条件者，可获得硕士学位，颁发硕士毕业证书。</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对考试结果质疑者在考试结果公布一周内可向所在培养单位提出申诉。</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3.</w:t>
      </w:r>
      <w:r>
        <w:rPr>
          <w:rFonts w:ascii="黑体" w:hAnsi="黑体" w:eastAsia="黑体" w:cs="Times New Roman"/>
          <w:sz w:val="21"/>
          <w:szCs w:val="21"/>
        </w:rPr>
        <w:t>开题报告</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准入条件</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学分修读完成，资格考试通过。</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普博生、硕博生（取得博士学籍后）应在第二学年结束前完成博士学位论文开题，直博生应在第三学年结束前完成开题。自开题报告通过至申请论文预答辩应不少于1年。</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开题报告由院系统一组织，具体时间由导师和院系决定，至少在本方案的培养方向（如植物生态学、动物生态学、生态系统生态学、修复生态学和城市生态学）上分组公开进行。开题报告考核小组成员不少于3名，其中，具有博士生指导资格的专家不少于2名，副高职称的专家需有博士学位。属于不同学科交叉培养的博士生，开题报告应聘请所涉及的相关学科专家参加。开题结束后，博士生将开题报告表提交院系备案。</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（3）考核结果</w:t>
      </w:r>
      <w:r>
        <w:rPr>
          <w:rFonts w:hint="eastAsia" w:ascii="Times New Roman" w:hAnsi="Times New Roman" w:cs="Times New Roman"/>
          <w:sz w:val="21"/>
          <w:szCs w:val="21"/>
        </w:rPr>
        <w:t>及分流</w:t>
      </w:r>
      <w:r>
        <w:rPr>
          <w:rFonts w:ascii="Times New Roman" w:hAnsi="Times New Roman" w:cs="Times New Roman"/>
          <w:sz w:val="21"/>
          <w:szCs w:val="21"/>
        </w:rPr>
        <w:t>说明</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开题报告的结果分为通过和不通过。未通过者，可申请在3个月后进行第二次开题，第二次仍未通过者，按肄业处理。研究过程中，如论文课题出现重大变动的，需重新组织开题。</w:t>
      </w:r>
    </w:p>
    <w:p>
      <w:pPr>
        <w:spacing w:before="156" w:beforeLines="50" w:after="156" w:afterLines="50"/>
        <w:ind w:firstLine="420" w:firstLineChars="200"/>
        <w:jc w:val="both"/>
        <w:rPr>
          <w:rFonts w:ascii="黑体" w:hAnsi="黑体" w:eastAsia="黑体" w:cs="Times New Roman"/>
          <w:sz w:val="21"/>
          <w:szCs w:val="21"/>
        </w:rPr>
      </w:pPr>
      <w:r>
        <w:rPr>
          <w:rFonts w:hint="eastAsia" w:ascii="黑体" w:hAnsi="黑体" w:eastAsia="黑体" w:cs="Times New Roman"/>
          <w:sz w:val="21"/>
          <w:szCs w:val="21"/>
        </w:rPr>
        <w:t>4.</w:t>
      </w:r>
      <w:r>
        <w:rPr>
          <w:rFonts w:ascii="黑体" w:hAnsi="黑体" w:eastAsia="黑体" w:cs="Times New Roman"/>
          <w:sz w:val="21"/>
          <w:szCs w:val="21"/>
        </w:rPr>
        <w:t>科研训练与学术活动</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（1）考核</w:t>
      </w:r>
      <w:r>
        <w:rPr>
          <w:rFonts w:hint="eastAsia" w:ascii="Times New Roman" w:hAnsi="Times New Roman" w:cs="Times New Roman"/>
          <w:sz w:val="21"/>
          <w:szCs w:val="21"/>
        </w:rPr>
        <w:t>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普博生、硕博生（取得博士学籍后）应在第二学年结束前、直博生应在第三学年结束前完成科研训练和学术活动考核。</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博士生在导师或导师组的指导下，通过独立开展科研或参加导师的科研课题等方式，提高科学研究、学术创新、学术鉴别、学术交流等能力。博士研究生在学期间须参加不少于30次的学术讲座，其中包括在本单位公开作一次学术报告，或者参加一次国内外学术会议。导师对博士生入学后的科研训练和学术活动进行评分（满分为100分计）。</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（2）考核结果</w:t>
      </w:r>
      <w:r>
        <w:rPr>
          <w:rFonts w:hint="eastAsia" w:ascii="Times New Roman" w:hAnsi="Times New Roman" w:cs="Times New Roman"/>
          <w:sz w:val="21"/>
          <w:szCs w:val="21"/>
        </w:rPr>
        <w:t>及分流</w:t>
      </w:r>
      <w:r>
        <w:rPr>
          <w:rFonts w:ascii="Times New Roman" w:hAnsi="Times New Roman" w:cs="Times New Roman"/>
          <w:sz w:val="21"/>
          <w:szCs w:val="21"/>
        </w:rPr>
        <w:t>说明</w:t>
      </w:r>
    </w:p>
    <w:p>
      <w:pPr>
        <w:ind w:firstLine="420" w:firstLineChars="200"/>
        <w:jc w:val="both"/>
        <w:rPr>
          <w:rFonts w:ascii="Times New Roman" w:hAnsi="Times New Roman" w:cs="Times New Roman"/>
          <w:sz w:val="18"/>
          <w:szCs w:val="21"/>
        </w:rPr>
      </w:pPr>
      <w:r>
        <w:rPr>
          <w:rFonts w:ascii="Times New Roman" w:hAnsi="Times New Roman" w:cs="Times New Roman"/>
          <w:sz w:val="21"/>
          <w:szCs w:val="21"/>
        </w:rPr>
        <w:t>考核结果分为通过和不通过。</w:t>
      </w:r>
      <w:r>
        <w:rPr>
          <w:sz w:val="21"/>
        </w:rPr>
        <w:t>未通过者须在三个月内进行第二次考核。第二次仍未通过者，按结业或肄业处理。</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5.</w:t>
      </w:r>
      <w:r>
        <w:rPr>
          <w:rFonts w:ascii="黑体" w:hAnsi="黑体" w:eastAsia="黑体" w:cs="Times New Roman"/>
          <w:sz w:val="21"/>
          <w:szCs w:val="21"/>
        </w:rPr>
        <w:t>中期考核</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准入条件</w:t>
      </w:r>
    </w:p>
    <w:p>
      <w:pPr>
        <w:ind w:firstLine="420" w:firstLineChars="200"/>
        <w:jc w:val="both"/>
        <w:rPr>
          <w:rFonts w:ascii="Times New Roman" w:hAnsi="Times New Roman" w:cs="Times New Roman"/>
          <w:sz w:val="18"/>
          <w:szCs w:val="21"/>
        </w:rPr>
      </w:pPr>
      <w:r>
        <w:rPr>
          <w:sz w:val="21"/>
        </w:rPr>
        <w:t>课程学分修满、年度考核至少完成一次、资格考试通过、开题完成。</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（2）考核要求</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普博生、硕博生（取得博士学籍后）应在第二学年结束前、直博生应在第三学年结束前完成中期考核。</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中期考核以审核形式开展，审核内容包括课程修读、年度报告、资格考试、开题报告、学术活动等完成情况。</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（3）考核结果</w:t>
      </w:r>
      <w:r>
        <w:rPr>
          <w:rFonts w:hint="eastAsia" w:ascii="Times New Roman" w:hAnsi="Times New Roman" w:cs="Times New Roman"/>
          <w:sz w:val="21"/>
          <w:szCs w:val="21"/>
        </w:rPr>
        <w:t>及分流</w:t>
      </w:r>
      <w:r>
        <w:rPr>
          <w:rFonts w:ascii="Times New Roman" w:hAnsi="Times New Roman" w:cs="Times New Roman"/>
          <w:sz w:val="21"/>
          <w:szCs w:val="21"/>
        </w:rPr>
        <w:t>说明</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以上各环节考核均通过者，为中期考核通过；若其中一项不通过者，为中期考核不通过。中期考核通过者，方可申请论文预答辩。</w:t>
      </w:r>
    </w:p>
    <w:p>
      <w:pPr>
        <w:spacing w:before="156" w:beforeLines="50" w:after="156" w:afterLines="50"/>
        <w:ind w:firstLine="420" w:firstLineChars="200"/>
        <w:rPr>
          <w:rFonts w:ascii="黑体" w:hAnsi="黑体" w:eastAsia="黑体" w:cs="Times New Roman"/>
          <w:sz w:val="21"/>
          <w:szCs w:val="21"/>
        </w:rPr>
      </w:pPr>
      <w:r>
        <w:rPr>
          <w:rFonts w:hint="eastAsia" w:ascii="黑体" w:hAnsi="黑体" w:eastAsia="黑体" w:cs="Times New Roman"/>
          <w:sz w:val="21"/>
          <w:szCs w:val="21"/>
        </w:rPr>
        <w:t>6.</w:t>
      </w:r>
      <w:r>
        <w:rPr>
          <w:rFonts w:ascii="黑体" w:hAnsi="黑体" w:eastAsia="黑体" w:cs="Times New Roman"/>
          <w:sz w:val="21"/>
          <w:szCs w:val="21"/>
        </w:rPr>
        <w:t>论文预答辩</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准入条件</w:t>
      </w:r>
    </w:p>
    <w:p>
      <w:pPr>
        <w:ind w:firstLine="420" w:firstLineChars="200"/>
        <w:jc w:val="both"/>
        <w:rPr>
          <w:rFonts w:ascii="Times New Roman" w:hAnsi="Times New Roman" w:cs="Times New Roman"/>
          <w:sz w:val="21"/>
          <w:szCs w:val="21"/>
        </w:rPr>
      </w:pPr>
      <w:r>
        <w:rPr>
          <w:rStyle w:val="42"/>
          <w:rFonts w:ascii="Times New Roman" w:hAnsi="Times New Roman" w:eastAsia="宋体" w:cs="Times New Roman"/>
        </w:rPr>
        <w:t>通过中期考核的博士研究生在完成学位论文初稿并通过导师或指导小组成员审阅后可参加预答辩。</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（2）考核要求</w:t>
      </w:r>
    </w:p>
    <w:p>
      <w:pPr>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博士生</w:t>
      </w:r>
      <w:r>
        <w:rPr>
          <w:rFonts w:ascii="Times New Roman" w:hAnsi="Times New Roman" w:cs="Times New Roman"/>
          <w:sz w:val="21"/>
          <w:szCs w:val="21"/>
        </w:rPr>
        <w:t>须在学位论文评阅盲审前至少2个月进行，分别在每年1月份前和8月份前。</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预答辩工作由导师组织预答辩小组，成员为3-5名具有高级职称的同行专家（副高职称需有博士学位且不多于1人），校外专家不少于1人，设一名预答辩组长，博士研究生导师为预答辩小组成员，另聘请一位预答辩秘书负责预答辩工作。博士研究生应在预答辩前十天提交学位论文初稿、开题报告等材料给预答辩小组成员评阅。</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预答辩程序：导师对博士研究生的研究情况作全面介绍；博士研究生介绍论文内容并重点对学位论文的创新性、关键性结论进行论证；预答辩小组成员对学位论文初稿进行质疑，对论文的创新性、学术水平、理论研究和实验研究的立论依据、研究成果、关键性结论等做出评价，并给出具体的修改或完善意见，同时给出预答辩成绩和结论。</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答辩的成绩为百分制，低于60分为不合格，60-70分为基本合格，70分以上为合格。</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博士研究生在如下情况需重新进行预答辩：前一次预答辩结论为不合格；前一次预答辩结论虽为合格或基本合格，但学生在半年内未完成答辩流程；盲审结果有异议且复议未通过；盲审通过但答辩未通过；盲审与答辩通过，但学位评定分委员会或校学位评定委员会审议未通过。</w:t>
      </w:r>
    </w:p>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（3）考核结果</w:t>
      </w:r>
      <w:r>
        <w:rPr>
          <w:rFonts w:hint="eastAsia" w:ascii="Times New Roman" w:hAnsi="Times New Roman" w:cs="Times New Roman"/>
          <w:sz w:val="21"/>
          <w:szCs w:val="21"/>
        </w:rPr>
        <w:t>及分流</w:t>
      </w:r>
      <w:r>
        <w:rPr>
          <w:rFonts w:ascii="Times New Roman" w:hAnsi="Times New Roman" w:cs="Times New Roman"/>
          <w:sz w:val="21"/>
          <w:szCs w:val="21"/>
        </w:rPr>
        <w:t>说明</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预答辩结论为合格，博士研究生根据预答辩小组意见完善论文，可直接进入答辩资格审核阶段；</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预答辩结论为基本合格，博士研究生必须根据预答辩小组意见修改论文，经导师审阅同意后，提交修改论文及修改报告，经学位分委会审核后，方可进入答辩资格审核及盲审阶段；</w:t>
      </w:r>
    </w:p>
    <w:p>
      <w:pPr>
        <w:pStyle w:val="33"/>
        <w:numPr>
          <w:ilvl w:val="0"/>
          <w:numId w:val="1"/>
        </w:numPr>
        <w:spacing w:line="240" w:lineRule="auto"/>
        <w:ind w:firstLineChars="0"/>
        <w:rPr>
          <w:rFonts w:ascii="Times New Roman" w:hAnsi="Times New Roman" w:cs="Times New Roman"/>
          <w:sz w:val="21"/>
        </w:rPr>
      </w:pPr>
      <w:r>
        <w:rPr>
          <w:rFonts w:ascii="Times New Roman" w:hAnsi="Times New Roman" w:cs="Times New Roman"/>
          <w:sz w:val="21"/>
        </w:rPr>
        <w:t>预答辩结论为不合格，博士研究生必须根据预答辩小组意见，全面修改论文不少于半年，经导师审阅后，重新进行预答辩。</w:t>
      </w:r>
    </w:p>
    <w:p>
      <w:pPr>
        <w:spacing w:before="156" w:beforeLines="50" w:after="156" w:afterLines="50"/>
        <w:ind w:firstLine="480" w:firstLineChars="200"/>
        <w:rPr>
          <w:rFonts w:ascii="黑体" w:hAnsi="黑体" w:eastAsia="黑体" w:cs="Times New Roman"/>
        </w:rPr>
      </w:pPr>
      <w:r>
        <w:rPr>
          <w:rFonts w:hint="eastAsia" w:ascii="黑体" w:hAnsi="黑体" w:eastAsia="黑体" w:cs="Times New Roman"/>
        </w:rPr>
        <w:t>八</w:t>
      </w:r>
      <w:r>
        <w:rPr>
          <w:rFonts w:ascii="黑体" w:hAnsi="黑体" w:eastAsia="黑体" w:cs="Times New Roman"/>
        </w:rPr>
        <w:t>、</w:t>
      </w:r>
      <w:r>
        <w:rPr>
          <w:rFonts w:hint="eastAsia" w:ascii="黑体" w:hAnsi="黑体" w:eastAsia="黑体" w:cs="Times New Roman"/>
        </w:rPr>
        <w:t>创新成果考核</w:t>
      </w:r>
      <w:r>
        <w:rPr>
          <w:rFonts w:hint="eastAsia" w:ascii="黑体" w:hAnsi="黑体" w:eastAsia="黑体" w:cs="Times New Roman"/>
          <w:color w:val="FF0000"/>
        </w:rPr>
        <w:t xml:space="preserve"> </w:t>
      </w:r>
    </w:p>
    <w:p>
      <w:pPr>
        <w:spacing w:before="156" w:beforeLines="50"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博士生（含留学生）在读期间发表的科研成果需至少满足以下条件之一：</w:t>
      </w:r>
    </w:p>
    <w:p>
      <w:pPr>
        <w:spacing w:line="288" w:lineRule="auto"/>
        <w:ind w:firstLine="420"/>
        <w:jc w:val="both"/>
        <w:rPr>
          <w:rFonts w:ascii="Times New Roman" w:hAnsi="Times New Roman" w:cs="Times New Roman"/>
          <w:b/>
          <w:color w:val="000000"/>
          <w:sz w:val="21"/>
          <w:szCs w:val="21"/>
        </w:rPr>
      </w:pPr>
      <w:r>
        <w:rPr>
          <w:rFonts w:ascii="Times New Roman" w:hAnsi="Times New Roman" w:cs="Times New Roman"/>
          <w:b/>
          <w:color w:val="000000"/>
          <w:sz w:val="21"/>
          <w:szCs w:val="21"/>
        </w:rPr>
        <w:t>发表高质量学术论文：</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1）在</w:t>
      </w:r>
      <w:r>
        <w:rPr>
          <w:rFonts w:ascii="Times New Roman" w:hAnsi="Times New Roman" w:cs="Times New Roman"/>
          <w:color w:val="000000"/>
          <w:sz w:val="21"/>
          <w:szCs w:val="21"/>
        </w:rPr>
        <w:t>Nature、Science、Cell等超一流学术期刊、影响因子为10及以上的Nature/Science子刊或影响因子大于20的期刊或PNAS（Proceedings of the National Academy of Sciences of USA）等特别类期刊上合作发表（或在线发表）1篇学术论文（不区分作者与作者单位排序）；</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2）本</w:t>
      </w:r>
      <w:r>
        <w:rPr>
          <w:rFonts w:ascii="Times New Roman" w:hAnsi="Times New Roman" w:cs="Times New Roman"/>
          <w:color w:val="000000"/>
          <w:sz w:val="21"/>
          <w:szCs w:val="21"/>
        </w:rPr>
        <w:t>人为第一作者或第二作者（导师为第一作者时）、华东师范大学为第一作者单位，在理工科一级学科顶级期刊发表（或在线发表）1篇学术论文</w:t>
      </w:r>
      <w:r>
        <w:rPr>
          <w:rFonts w:hint="eastAsia" w:ascii="Times New Roman" w:hAnsi="Times New Roman" w:cs="Times New Roman"/>
          <w:color w:val="000000"/>
          <w:sz w:val="21"/>
          <w:szCs w:val="21"/>
        </w:rPr>
        <w:t>（以当年学校科技处发文为准）</w:t>
      </w:r>
      <w:r>
        <w:rPr>
          <w:rFonts w:ascii="Times New Roman" w:hAnsi="Times New Roman" w:cs="Times New Roman"/>
          <w:color w:val="000000"/>
          <w:sz w:val="21"/>
          <w:szCs w:val="21"/>
        </w:rPr>
        <w:t>；</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3）本</w:t>
      </w:r>
      <w:r>
        <w:rPr>
          <w:rFonts w:ascii="Times New Roman" w:hAnsi="Times New Roman" w:cs="Times New Roman"/>
          <w:color w:val="000000"/>
          <w:sz w:val="21"/>
          <w:szCs w:val="21"/>
        </w:rPr>
        <w:t>人为第一作者、华东师范大学为第一作者单位在III区及以上</w:t>
      </w:r>
      <w:r>
        <w:rPr>
          <w:rFonts w:hint="eastAsia" w:ascii="Times New Roman" w:hAnsi="Times New Roman" w:cs="Times New Roman"/>
          <w:color w:val="000000"/>
          <w:sz w:val="21"/>
          <w:szCs w:val="21"/>
        </w:rPr>
        <w:t>S</w:t>
      </w:r>
      <w:r>
        <w:rPr>
          <w:rFonts w:ascii="Times New Roman" w:hAnsi="Times New Roman" w:cs="Times New Roman"/>
          <w:color w:val="000000"/>
          <w:sz w:val="21"/>
          <w:szCs w:val="21"/>
        </w:rPr>
        <w:t>SCI</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SCI或SCIE收录期刊（不含增刊、副刊）上发表（或在线发表）1篇学术论文；</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4）本</w:t>
      </w:r>
      <w:r>
        <w:rPr>
          <w:rFonts w:ascii="Times New Roman" w:hAnsi="Times New Roman" w:cs="Times New Roman"/>
          <w:color w:val="000000"/>
          <w:sz w:val="21"/>
          <w:szCs w:val="21"/>
        </w:rPr>
        <w:t>人为第一作者、华东师范大学为第一作者单位在</w:t>
      </w:r>
      <w:r>
        <w:rPr>
          <w:rFonts w:hint="eastAsia" w:ascii="Times New Roman" w:hAnsi="Times New Roman" w:cs="Times New Roman"/>
          <w:color w:val="000000"/>
          <w:sz w:val="21"/>
          <w:szCs w:val="21"/>
        </w:rPr>
        <w:t>S</w:t>
      </w:r>
      <w:r>
        <w:rPr>
          <w:rFonts w:ascii="Times New Roman" w:hAnsi="Times New Roman" w:cs="Times New Roman"/>
          <w:color w:val="000000"/>
          <w:sz w:val="21"/>
          <w:szCs w:val="21"/>
        </w:rPr>
        <w:t>SCI</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SCI或SCIE收录期刊（不含增刊、副刊）上发表（或在线发表）多篇学术论文，论文累计5年综合影响因子IF ≥ 3.0；或论文累计5年综合影响因子IF ≥ 2.0，且在CSCD（中国科学引文数据库）中文核心期刊发表（或在线发表）1篇学术论文</w:t>
      </w:r>
      <w:r>
        <w:rPr>
          <w:rFonts w:hint="eastAsia" w:ascii="Times New Roman" w:hAnsi="Times New Roman" w:cs="Times New Roman"/>
          <w:color w:val="000000"/>
          <w:sz w:val="21"/>
          <w:szCs w:val="21"/>
        </w:rPr>
        <w:t>。</w:t>
      </w:r>
    </w:p>
    <w:p>
      <w:pPr>
        <w:spacing w:line="288" w:lineRule="auto"/>
        <w:ind w:firstLine="420"/>
        <w:jc w:val="both"/>
        <w:rPr>
          <w:rFonts w:ascii="Times New Roman" w:hAnsi="Times New Roman" w:cs="Times New Roman"/>
          <w:b/>
          <w:color w:val="000000"/>
          <w:sz w:val="21"/>
          <w:szCs w:val="21"/>
        </w:rPr>
      </w:pPr>
      <w:r>
        <w:rPr>
          <w:rFonts w:ascii="Times New Roman" w:hAnsi="Times New Roman" w:cs="Times New Roman"/>
          <w:b/>
          <w:color w:val="000000"/>
          <w:sz w:val="21"/>
          <w:szCs w:val="21"/>
        </w:rPr>
        <w:t>其他创新成果：</w:t>
      </w:r>
    </w:p>
    <w:p>
      <w:pPr>
        <w:ind w:firstLine="350" w:firstLineChars="167"/>
        <w:rPr>
          <w:rFonts w:ascii="Times New Roman" w:hAnsi="Times New Roman" w:cs="Times New Roman"/>
          <w:color w:val="000000"/>
          <w:sz w:val="21"/>
          <w:szCs w:val="21"/>
        </w:rPr>
      </w:pPr>
      <w:r>
        <w:rPr>
          <w:rFonts w:ascii="Times New Roman" w:hAnsi="Times New Roman" w:cs="Times New Roman"/>
          <w:color w:val="000000"/>
          <w:sz w:val="21"/>
          <w:szCs w:val="21"/>
        </w:rPr>
        <w:t>（5</w:t>
      </w:r>
      <w:r>
        <w:rPr>
          <w:rFonts w:hint="eastAsia" w:ascii="Times New Roman" w:hAnsi="Times New Roman" w:cs="Times New Roman"/>
          <w:color w:val="000000"/>
          <w:sz w:val="21"/>
          <w:szCs w:val="21"/>
        </w:rPr>
        <w:t>）省</w:t>
      </w:r>
      <w:r>
        <w:rPr>
          <w:rFonts w:ascii="Times New Roman" w:hAnsi="Times New Roman" w:cs="Times New Roman"/>
          <w:color w:val="000000"/>
          <w:sz w:val="21"/>
          <w:szCs w:val="21"/>
        </w:rPr>
        <w:t>部级二等及以上重要获奖（不计排名）；</w:t>
      </w:r>
    </w:p>
    <w:p>
      <w:pPr>
        <w:ind w:firstLine="350" w:firstLineChars="167"/>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6</w:t>
      </w:r>
      <w:r>
        <w:rPr>
          <w:rFonts w:ascii="Times New Roman" w:hAnsi="Times New Roman" w:cs="Times New Roman"/>
          <w:color w:val="000000"/>
          <w:sz w:val="21"/>
          <w:szCs w:val="21"/>
        </w:rPr>
        <w:t>）已授权的发明专利（第一完成人）；</w:t>
      </w:r>
    </w:p>
    <w:p>
      <w:pPr>
        <w:ind w:firstLine="350" w:firstLineChars="167"/>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）其他有重要影响力的创新成果；</w:t>
      </w:r>
    </w:p>
    <w:p>
      <w:pPr>
        <w:ind w:firstLine="350" w:firstLineChars="167"/>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8</w:t>
      </w:r>
      <w:r>
        <w:rPr>
          <w:rFonts w:ascii="Times New Roman" w:hAnsi="Times New Roman" w:cs="Times New Roman"/>
          <w:color w:val="000000"/>
          <w:sz w:val="21"/>
          <w:szCs w:val="21"/>
        </w:rPr>
        <w:t>）对于学位论文确实优秀的研究生，可以适当放宽以上成果要求。“优秀学位论文”需满足如下条件：</w:t>
      </w:r>
    </w:p>
    <w:p>
      <w:pPr>
        <w:pStyle w:val="33"/>
        <w:numPr>
          <w:ilvl w:val="0"/>
          <w:numId w:val="2"/>
        </w:numPr>
        <w:spacing w:line="240" w:lineRule="auto"/>
        <w:ind w:hanging="273" w:firstLineChars="0"/>
        <w:rPr>
          <w:rFonts w:ascii="Times New Roman" w:hAnsi="Times New Roman" w:cs="Times New Roman"/>
          <w:kern w:val="0"/>
          <w:sz w:val="21"/>
        </w:rPr>
      </w:pPr>
      <w:r>
        <w:rPr>
          <w:rFonts w:ascii="Times New Roman" w:hAnsi="Times New Roman" w:cs="Times New Roman"/>
          <w:kern w:val="0"/>
          <w:sz w:val="21"/>
        </w:rPr>
        <w:t>导师推荐优秀；</w:t>
      </w:r>
    </w:p>
    <w:p>
      <w:pPr>
        <w:pStyle w:val="33"/>
        <w:numPr>
          <w:ilvl w:val="0"/>
          <w:numId w:val="2"/>
        </w:numPr>
        <w:spacing w:line="240" w:lineRule="auto"/>
        <w:ind w:hanging="273" w:firstLineChars="0"/>
        <w:rPr>
          <w:rFonts w:ascii="Times New Roman" w:hAnsi="Times New Roman" w:cs="Times New Roman"/>
          <w:kern w:val="0"/>
          <w:sz w:val="21"/>
        </w:rPr>
      </w:pPr>
      <w:r>
        <w:rPr>
          <w:rFonts w:ascii="Times New Roman" w:hAnsi="Times New Roman" w:cs="Times New Roman"/>
          <w:kern w:val="0"/>
          <w:sz w:val="21"/>
        </w:rPr>
        <w:t>学位论文盲审各类分项评价指标中，无“C”及以下指标，同时“B” 指标的比例不得高于10%；</w:t>
      </w:r>
    </w:p>
    <w:p>
      <w:pPr>
        <w:pStyle w:val="33"/>
        <w:numPr>
          <w:ilvl w:val="0"/>
          <w:numId w:val="2"/>
        </w:numPr>
        <w:spacing w:line="240" w:lineRule="auto"/>
        <w:ind w:hanging="273" w:firstLineChars="0"/>
        <w:rPr>
          <w:rFonts w:ascii="Times New Roman" w:hAnsi="Times New Roman" w:cs="Times New Roman"/>
          <w:kern w:val="0"/>
          <w:sz w:val="21"/>
        </w:rPr>
      </w:pPr>
      <w:r>
        <w:rPr>
          <w:rFonts w:ascii="Times New Roman" w:hAnsi="Times New Roman" w:cs="Times New Roman"/>
          <w:kern w:val="0"/>
          <w:sz w:val="21"/>
        </w:rPr>
        <w:t>学位论文盲审意见的“总体评价”应全部为优秀（90-100分）；</w:t>
      </w:r>
    </w:p>
    <w:p>
      <w:pPr>
        <w:pStyle w:val="33"/>
        <w:numPr>
          <w:ilvl w:val="0"/>
          <w:numId w:val="2"/>
        </w:numPr>
        <w:spacing w:line="240" w:lineRule="auto"/>
        <w:ind w:hanging="273" w:firstLineChars="0"/>
        <w:rPr>
          <w:rFonts w:ascii="Times New Roman" w:hAnsi="Times New Roman" w:cs="Times New Roman"/>
          <w:kern w:val="0"/>
          <w:sz w:val="21"/>
        </w:rPr>
      </w:pPr>
      <w:r>
        <w:rPr>
          <w:rFonts w:ascii="Times New Roman" w:hAnsi="Times New Roman" w:cs="Times New Roman"/>
          <w:kern w:val="0"/>
          <w:sz w:val="21"/>
        </w:rPr>
        <w:t>答辩委员会推荐优秀。</w:t>
      </w:r>
    </w:p>
    <w:p>
      <w:pPr>
        <w:spacing w:line="288" w:lineRule="auto"/>
        <w:ind w:firstLine="420"/>
        <w:jc w:val="both"/>
        <w:rPr>
          <w:rFonts w:ascii="Times New Roman" w:hAnsi="Times New Roman" w:cs="Times New Roman"/>
          <w:color w:val="000000"/>
          <w:sz w:val="21"/>
          <w:szCs w:val="21"/>
        </w:rPr>
      </w:pP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注：</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（1）“发表”指正式刊出或online可查；</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（2）“其他创新成果”需由研究生提供相应证明材料并得到本学科学位评定分委员会认可；</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（3）未发现抄袭、剽窃他人成果和侵犯他人著作权的行为；</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（4）未发现发表有严重错误的文章；</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（5）以上“（</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至（4</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”中，通讯作者的第一署名单位必须为华东师范大学，一篇SCI论文只能用于一个博士</w:t>
      </w:r>
      <w:r>
        <w:rPr>
          <w:rFonts w:hint="eastAsia" w:ascii="Times New Roman" w:hAnsi="Times New Roman" w:cs="Times New Roman"/>
          <w:color w:val="000000"/>
          <w:sz w:val="21"/>
          <w:szCs w:val="21"/>
        </w:rPr>
        <w:t>生</w:t>
      </w:r>
      <w:r>
        <w:rPr>
          <w:rFonts w:ascii="Times New Roman" w:hAnsi="Times New Roman" w:cs="Times New Roman"/>
          <w:color w:val="000000"/>
          <w:sz w:val="21"/>
          <w:szCs w:val="21"/>
        </w:rPr>
        <w:t>毕业</w:t>
      </w:r>
      <w:r>
        <w:rPr>
          <w:rFonts w:hint="eastAsia" w:ascii="Times New Roman" w:hAnsi="Times New Roman" w:cs="Times New Roman"/>
          <w:color w:val="000000"/>
          <w:sz w:val="21"/>
          <w:szCs w:val="21"/>
        </w:rPr>
        <w:t>;</w:t>
      </w:r>
    </w:p>
    <w:p>
      <w:pPr>
        <w:spacing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（6）每位研究生导师可根据研究生或项目课题情况制定高于以上科研成果要求的标准，并作为研究生个人科研成果要求写入培养计划。</w:t>
      </w:r>
    </w:p>
    <w:p>
      <w:pPr>
        <w:spacing w:line="288" w:lineRule="auto"/>
        <w:ind w:firstLine="4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（7）其他创新成果需提交生态学学位评定分委员会审核。</w:t>
      </w:r>
    </w:p>
    <w:p>
      <w:pPr>
        <w:spacing w:line="288" w:lineRule="auto"/>
        <w:ind w:firstLine="420"/>
        <w:jc w:val="both"/>
        <w:rPr>
          <w:rFonts w:ascii="Times New Roman" w:hAnsi="Times New Roman" w:cs="Times New Roman"/>
          <w:color w:val="000000"/>
          <w:sz w:val="21"/>
          <w:szCs w:val="21"/>
        </w:rPr>
      </w:pPr>
    </w:p>
    <w:p>
      <w:pPr>
        <w:spacing w:line="288" w:lineRule="auto"/>
        <w:ind w:firstLine="420"/>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各院系可根据情况调整成果要求，但不能低于生态学科的统一标准。</w:t>
      </w:r>
    </w:p>
    <w:p>
      <w:pPr>
        <w:spacing w:line="288" w:lineRule="auto"/>
        <w:ind w:firstLine="420"/>
        <w:jc w:val="both"/>
      </w:pPr>
      <w:r>
        <w:rPr>
          <w:rFonts w:ascii="Times New Roman" w:hAnsi="Times New Roman" w:cs="Times New Roman"/>
          <w:color w:val="000000"/>
          <w:sz w:val="21"/>
          <w:szCs w:val="21"/>
        </w:rPr>
        <w:t>博士研究生在读期间科研成果达到以上相应规定要求后，方能提出学位申请。</w:t>
      </w:r>
    </w:p>
    <w:p>
      <w:pPr>
        <w:spacing w:before="156" w:beforeLines="50" w:after="156" w:afterLines="50"/>
        <w:ind w:firstLine="480" w:firstLineChars="200"/>
        <w:rPr>
          <w:rFonts w:cs="Times New Roman"/>
          <w:szCs w:val="21"/>
        </w:rPr>
      </w:pPr>
      <w:r>
        <w:rPr>
          <w:rFonts w:hint="eastAsia" w:ascii="黑体" w:hAnsi="黑体" w:eastAsia="黑体" w:cs="Times New Roman"/>
        </w:rPr>
        <w:t>九</w:t>
      </w:r>
      <w:r>
        <w:rPr>
          <w:rFonts w:ascii="黑体" w:hAnsi="黑体" w:eastAsia="黑体" w:cs="Times New Roman"/>
        </w:rPr>
        <w:t>、</w:t>
      </w:r>
      <w:r>
        <w:rPr>
          <w:rFonts w:hint="eastAsia" w:ascii="黑体" w:hAnsi="黑体" w:eastAsia="黑体" w:cs="Times New Roman"/>
        </w:rPr>
        <w:t>学位论文要求</w:t>
      </w:r>
      <w:r>
        <w:rPr>
          <w:rFonts w:hint="eastAsia" w:cs="Times New Roman"/>
          <w:szCs w:val="21"/>
        </w:rPr>
        <w:t xml:space="preserve"> </w:t>
      </w:r>
    </w:p>
    <w:p>
      <w:pPr>
        <w:spacing w:before="156" w:beforeLines="50" w:line="288" w:lineRule="auto"/>
        <w:ind w:firstLine="420"/>
        <w:jc w:val="both"/>
        <w:rPr>
          <w:rFonts w:ascii="Times New Roman" w:hAnsi="Times New Roman" w:cs="Times New Roman"/>
          <w:color w:val="000000"/>
          <w:sz w:val="21"/>
          <w:szCs w:val="21"/>
        </w:rPr>
      </w:pPr>
      <w:r>
        <w:rPr>
          <w:rFonts w:ascii="Times New Roman" w:hAnsi="Times New Roman" w:cs="Times New Roman"/>
          <w:color w:val="000000"/>
          <w:sz w:val="21"/>
          <w:szCs w:val="21"/>
        </w:rPr>
        <w:t>博士生学位论文是综合衡量博士研究生培养质量和学术水平的重要标志，博士生应有不少于2年的时间，在导师和导师组的指导下，进行学位论文相关的科学研究，独立完成论文撰写。</w:t>
      </w:r>
    </w:p>
    <w:p>
      <w:pPr>
        <w:spacing w:line="288" w:lineRule="auto"/>
        <w:ind w:firstLine="420" w:firstLineChars="200"/>
        <w:jc w:val="both"/>
        <w:rPr>
          <w:rFonts w:ascii="Times New Roman" w:hAnsi="Times New Roman" w:cs="Times New Roman"/>
          <w:color w:val="000000"/>
          <w:sz w:val="21"/>
          <w:szCs w:val="21"/>
        </w:rPr>
      </w:pPr>
      <w:r>
        <w:rPr>
          <w:rFonts w:ascii="Times New Roman" w:hAnsi="Times New Roman" w:cs="Times New Roman"/>
          <w:color w:val="000000"/>
          <w:sz w:val="21"/>
          <w:szCs w:val="21"/>
        </w:rPr>
        <w:t>博士生学位论文具有创新性，符合学术规范，其基本要求、评阅、盲审、答辩，以及学位申请、学位评议与授予，按照《华东师范大学博士、硕士学位论文基本要求》、《华东师范大学学位授予工作细则》的相关规定执行。</w:t>
      </w:r>
    </w:p>
    <w:p>
      <w:pPr>
        <w:spacing w:line="288" w:lineRule="auto"/>
        <w:ind w:firstLine="420" w:firstLineChars="200"/>
        <w:jc w:val="both"/>
        <w:rPr>
          <w:rFonts w:ascii="Times New Roman" w:hAnsi="Times New Roman" w:cs="Times New Roman"/>
          <w:color w:val="000000"/>
          <w:sz w:val="21"/>
          <w:szCs w:val="21"/>
        </w:rPr>
      </w:pPr>
      <w:r>
        <w:rPr>
          <w:rFonts w:ascii="Times New Roman" w:hAnsi="Times New Roman" w:cs="Times New Roman"/>
          <w:color w:val="000000"/>
          <w:sz w:val="21"/>
          <w:szCs w:val="21"/>
        </w:rPr>
        <w:t>留学博士生学位论文可用汉语、英语撰写和答辩，但必须有详细的中文摘要。</w:t>
      </w:r>
    </w:p>
    <w:p>
      <w:pPr>
        <w:spacing w:before="156" w:beforeLines="50" w:after="156" w:afterLines="50"/>
        <w:ind w:firstLine="480" w:firstLineChars="200"/>
        <w:rPr>
          <w:rFonts w:ascii="黑体" w:hAnsi="黑体" w:eastAsia="黑体" w:cs="Times New Roman"/>
        </w:rPr>
      </w:pPr>
      <w:r>
        <w:rPr>
          <w:rFonts w:hint="eastAsia" w:ascii="黑体" w:hAnsi="黑体" w:eastAsia="黑体" w:cs="Times New Roman"/>
        </w:rPr>
        <w:t>十、必修课程教材</w:t>
      </w:r>
    </w:p>
    <w:tbl>
      <w:tblPr>
        <w:tblStyle w:val="1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63" w:type="dxa"/>
          </w:tcPr>
          <w:p>
            <w:pPr>
              <w:spacing w:line="400" w:lineRule="exact"/>
              <w:rPr>
                <w:rFonts w:ascii="Times New Roman" w:hAnsi="Times New Roman" w:cs="Times New Roman"/>
                <w:sz w:val="21"/>
                <w:szCs w:val="21"/>
              </w:rPr>
            </w:pPr>
            <w:r>
              <w:rPr>
                <w:rFonts w:hint="eastAsia" w:ascii="Times New Roman" w:hAnsi="Times New Roman" w:cs="Times New Roman"/>
                <w:sz w:val="21"/>
                <w:szCs w:val="21"/>
              </w:rPr>
              <w:t>课程名称</w:t>
            </w:r>
          </w:p>
        </w:tc>
        <w:tc>
          <w:tcPr>
            <w:tcW w:w="7088" w:type="dxa"/>
          </w:tcPr>
          <w:p>
            <w:pPr>
              <w:spacing w:line="400" w:lineRule="exact"/>
              <w:rPr>
                <w:rFonts w:ascii="Times New Roman" w:hAnsi="Times New Roman" w:cs="Times New Roman"/>
                <w:sz w:val="21"/>
                <w:szCs w:val="21"/>
              </w:rPr>
            </w:pPr>
            <w:r>
              <w:rPr>
                <w:rFonts w:hint="eastAsia" w:cs="Times New Roman"/>
                <w:sz w:val="21"/>
                <w:szCs w:val="21"/>
              </w:rPr>
              <w:t>选用教材（含教材、教学参考书）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生态学理论与应用前沿</w:t>
            </w:r>
          </w:p>
        </w:tc>
        <w:tc>
          <w:tcPr>
            <w:tcW w:w="7088" w:type="dxa"/>
            <w:vAlign w:val="center"/>
          </w:tcPr>
          <w:p>
            <w:pPr>
              <w:rPr>
                <w:sz w:val="21"/>
                <w:szCs w:val="21"/>
              </w:rPr>
            </w:pPr>
            <w:r>
              <w:rPr>
                <w:rFonts w:hint="eastAsia" w:ascii="Times New Roman" w:hAnsi="Times New Roman" w:cs="Times New Roman"/>
                <w:sz w:val="21"/>
                <w:szCs w:val="21"/>
              </w:rPr>
              <w:t>系列讲座，无固定教材或参考用书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生态学研究进展</w:t>
            </w:r>
          </w:p>
        </w:tc>
        <w:tc>
          <w:tcPr>
            <w:tcW w:w="7088" w:type="dxa"/>
            <w:vAlign w:val="center"/>
          </w:tcPr>
          <w:p>
            <w:pPr>
              <w:rPr>
                <w:sz w:val="21"/>
                <w:szCs w:val="21"/>
              </w:rPr>
            </w:pPr>
            <w:r>
              <w:rPr>
                <w:rFonts w:hint="eastAsia" w:ascii="Times New Roman" w:hAnsi="Times New Roman" w:cs="Times New Roman"/>
                <w:sz w:val="21"/>
                <w:szCs w:val="21"/>
              </w:rPr>
              <w:t>系列讲座，无固定教材或参考用书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生态学研究方法</w:t>
            </w:r>
          </w:p>
        </w:tc>
        <w:tc>
          <w:tcPr>
            <w:tcW w:w="7088" w:type="dxa"/>
          </w:tcPr>
          <w:p>
            <w:pP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孙振钧、周东兴 主编，《生态学研究方法》，北京: 科学出版社，2010.</w:t>
            </w:r>
          </w:p>
          <w:p>
            <w:pP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陈吉泉、阳树英 主编，《陆地生态学研究方法》，北京: 高等教育出版社，2014.</w:t>
            </w:r>
          </w:p>
          <w:p>
            <w:pP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王兵，牛香，陶玉柱 主编，《森林生态学研究方法》，北京：中国林业出版社，2020.</w:t>
            </w:r>
          </w:p>
          <w:p>
            <w:pP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4.</w:t>
            </w:r>
            <w:r>
              <w:rPr>
                <w:rFonts w:hint="eastAsia" w:cs="Times New Roman" w:asciiTheme="minorEastAsia" w:hAnsiTheme="minorEastAsia" w:eastAsiaTheme="minorEastAsia"/>
                <w:sz w:val="21"/>
                <w:szCs w:val="21"/>
              </w:rPr>
              <w:t>David Edward,《Scientific Method for Ecological Research》， Cambridge University Press, Cambridge, UK.</w:t>
            </w:r>
          </w:p>
          <w:p>
            <w:pP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5.</w:t>
            </w:r>
            <w:r>
              <w:rPr>
                <w:rFonts w:hint="eastAsia" w:cs="Times New Roman" w:asciiTheme="minorEastAsia" w:hAnsiTheme="minorEastAsia" w:eastAsiaTheme="minorEastAsia"/>
                <w:sz w:val="21"/>
                <w:szCs w:val="21"/>
              </w:rPr>
              <w:t>Samuel M. Scheiner, Jessica Gurevitch,《Design and Analysis of Ecological Experiments》， Chapman and Hall/CRC, New York, USA.</w:t>
            </w:r>
          </w:p>
          <w:p>
            <w:pPr>
              <w:rPr>
                <w:rFonts w:cs="Times New Roman" w:asciiTheme="minorEastAsia" w:hAnsiTheme="minorEastAsia" w:eastAsiaTheme="minorEastAsia"/>
                <w:sz w:val="21"/>
                <w:szCs w:val="21"/>
              </w:rPr>
            </w:pPr>
            <w:r>
              <w:rPr>
                <w:rFonts w:cs="Times New Roman" w:asciiTheme="minorEastAsia" w:hAnsiTheme="minorEastAsia" w:eastAsiaTheme="minorEastAsia"/>
                <w:sz w:val="21"/>
                <w:szCs w:val="21"/>
              </w:rPr>
              <w:t>6.</w:t>
            </w:r>
            <w:r>
              <w:rPr>
                <w:rFonts w:hint="eastAsia" w:cs="Times New Roman" w:asciiTheme="minorEastAsia" w:hAnsiTheme="minorEastAsia" w:eastAsiaTheme="minorEastAsia"/>
                <w:sz w:val="21"/>
                <w:szCs w:val="21"/>
              </w:rPr>
              <w:t>Stanton Braude, Bobbi S. Low,《An Introduction to Methods and Models in Ecology, Evolution, and Conservation Biology》，Princeton University Press, USA.</w:t>
            </w:r>
          </w:p>
          <w:p>
            <w:pPr>
              <w:rPr>
                <w:rFonts w:ascii="Times New Roman" w:hAnsi="Times New Roman" w:cs="Times New Roman"/>
                <w:szCs w:val="21"/>
              </w:rPr>
            </w:pPr>
            <w:r>
              <w:rPr>
                <w:rFonts w:cs="Times New Roman" w:asciiTheme="minorEastAsia" w:hAnsiTheme="minorEastAsia" w:eastAsiaTheme="minorEastAsia"/>
                <w:sz w:val="21"/>
                <w:szCs w:val="21"/>
              </w:rPr>
              <w:t>7.</w:t>
            </w:r>
            <w:r>
              <w:rPr>
                <w:rFonts w:hint="eastAsia" w:cs="Times New Roman" w:asciiTheme="minorEastAsia" w:hAnsiTheme="minorEastAsia" w:eastAsiaTheme="minorEastAsia"/>
                <w:sz w:val="21"/>
                <w:szCs w:val="21"/>
              </w:rPr>
              <w:t>Journals:《Methods in Ecology and Evolution》、《Ecology Letters》、《Frontiers in Ecology and the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生态学研究思想史</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w:t>
            </w:r>
            <w:r>
              <w:rPr>
                <w:rFonts w:hint="eastAsia" w:ascii="Times New Roman" w:hAnsi="Times New Roman" w:eastAsia="宋体" w:cs="Times New Roman"/>
                <w:kern w:val="2"/>
                <w:sz w:val="21"/>
              </w:rPr>
              <w:t>唐纳德.沃斯特编著，自然的经济体系-生态思想史(Nature</w:t>
            </w:r>
            <w:r>
              <w:rPr>
                <w:rFonts w:ascii="Times New Roman" w:hAnsi="Times New Roman" w:eastAsia="宋体" w:cs="Times New Roman"/>
                <w:kern w:val="2"/>
                <w:sz w:val="21"/>
              </w:rPr>
              <w:t>’</w:t>
            </w:r>
            <w:r>
              <w:rPr>
                <w:rFonts w:hint="eastAsia" w:ascii="Times New Roman" w:hAnsi="Times New Roman" w:eastAsia="宋体" w:cs="Times New Roman"/>
                <w:kern w:val="2"/>
                <w:sz w:val="21"/>
              </w:rPr>
              <w:t>s economy: A history of ecological ideas</w:t>
            </w:r>
            <w:r>
              <w:rPr>
                <w:rFonts w:ascii="Times New Roman" w:hAnsi="Times New Roman" w:eastAsia="宋体" w:cs="Times New Roman"/>
                <w:kern w:val="2"/>
                <w:sz w:val="21"/>
              </w:rPr>
              <w:t xml:space="preserve">)  </w:t>
            </w:r>
            <w:r>
              <w:rPr>
                <w:rFonts w:hint="eastAsia" w:ascii="Times New Roman" w:hAnsi="Times New Roman" w:eastAsia="宋体" w:cs="Times New Roman"/>
                <w:kern w:val="2"/>
                <w:sz w:val="21"/>
              </w:rPr>
              <w:t>（第一版），北京:</w:t>
            </w:r>
            <w:r>
              <w:rPr>
                <w:rFonts w:ascii="Times New Roman" w:hAnsi="Times New Roman" w:eastAsia="宋体" w:cs="Times New Roman"/>
                <w:kern w:val="2"/>
                <w:sz w:val="21"/>
              </w:rPr>
              <w:t xml:space="preserve"> </w:t>
            </w:r>
            <w:r>
              <w:rPr>
                <w:rFonts w:hint="eastAsia" w:ascii="Times New Roman" w:hAnsi="Times New Roman" w:eastAsia="宋体" w:cs="Times New Roman"/>
                <w:kern w:val="2"/>
                <w:sz w:val="21"/>
              </w:rPr>
              <w:t>商务印书馆，1</w:t>
            </w:r>
            <w:r>
              <w:rPr>
                <w:rFonts w:ascii="Times New Roman" w:hAnsi="Times New Roman" w:eastAsia="宋体" w:cs="Times New Roman"/>
                <w:kern w:val="2"/>
                <w:sz w:val="21"/>
              </w:rPr>
              <w:t>999</w:t>
            </w:r>
            <w:r>
              <w:rPr>
                <w:rFonts w:hint="eastAsia" w:ascii="Times New Roman" w:hAnsi="Times New Roman" w:eastAsia="宋体" w:cs="Times New Roman"/>
                <w:kern w:val="2"/>
                <w:sz w:val="21"/>
              </w:rPr>
              <w:t>年.</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w:t>
            </w:r>
            <w:r>
              <w:rPr>
                <w:rFonts w:hint="eastAsia" w:ascii="Times New Roman" w:hAnsi="Times New Roman" w:eastAsia="宋体" w:cs="Times New Roman"/>
                <w:kern w:val="2"/>
                <w:sz w:val="21"/>
              </w:rPr>
              <w:t>Robert P. McIntosh编著，The Background of Ecology: Concept and Theory</w:t>
            </w:r>
            <w:r>
              <w:rPr>
                <w:rFonts w:ascii="Times New Roman" w:hAnsi="Times New Roman" w:eastAsia="宋体" w:cs="Times New Roman"/>
                <w:kern w:val="2"/>
                <w:sz w:val="21"/>
              </w:rPr>
              <w:t xml:space="preserve"> </w:t>
            </w:r>
            <w:r>
              <w:rPr>
                <w:rFonts w:hint="eastAsia" w:ascii="Times New Roman" w:hAnsi="Times New Roman" w:eastAsia="宋体" w:cs="Times New Roman"/>
                <w:kern w:val="2"/>
                <w:sz w:val="21"/>
              </w:rPr>
              <w:t>（第一版），Cambridge University Press，1</w:t>
            </w:r>
            <w:r>
              <w:rPr>
                <w:rFonts w:ascii="Times New Roman" w:hAnsi="Times New Roman" w:eastAsia="宋体" w:cs="Times New Roman"/>
                <w:kern w:val="2"/>
                <w:sz w:val="21"/>
              </w:rPr>
              <w:t>986</w:t>
            </w:r>
            <w:r>
              <w:rPr>
                <w:rFonts w:hint="eastAsia" w:ascii="Times New Roman" w:hAnsi="Times New Roman" w:eastAsia="宋体" w:cs="Times New Roman"/>
                <w:kern w:val="2"/>
                <w:sz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生态学基础</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1.Eugene Odum编著，Fundamentals of Ecology（5th edition），Brooks/Cole Publishing Co.，2005年</w:t>
            </w:r>
            <w:r>
              <w:rPr>
                <w:rFonts w:hint="eastAsia" w:ascii="Times New Roman" w:hAnsi="Times New Roman" w:eastAsia="宋体" w:cs="Times New Roman"/>
                <w:kern w:val="2"/>
                <w:sz w:val="21"/>
              </w:rPr>
              <w:t>.</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2</w:t>
            </w:r>
            <w:r>
              <w:rPr>
                <w:rFonts w:ascii="Times New Roman" w:hAnsi="Times New Roman" w:eastAsia="宋体" w:cs="Times New Roman"/>
                <w:kern w:val="2"/>
                <w:sz w:val="21"/>
              </w:rPr>
              <w:t>.陆健健，王伟，王天慧，何文珊，李秀珍编著，生态学基础，高等教育出版社，2009年</w:t>
            </w:r>
            <w:r>
              <w:rPr>
                <w:rFonts w:hint="eastAsia" w:ascii="Times New Roman" w:hAnsi="Times New Roman" w:eastAsia="宋体" w:cs="Times New Roman"/>
                <w:kern w:val="2"/>
                <w:sz w:val="21"/>
              </w:rPr>
              <w:t>.</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3.</w:t>
            </w:r>
            <w:r>
              <w:rPr>
                <w:rFonts w:hint="eastAsia" w:ascii="Times New Roman" w:hAnsi="Times New Roman" w:eastAsia="宋体" w:cs="Times New Roman"/>
                <w:kern w:val="2"/>
                <w:sz w:val="21"/>
              </w:rPr>
              <w:t>Manuel C., Molles编著，Ecology: Concepts and Applications(影印版)，高等教育出版社，2000年.</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4</w:t>
            </w:r>
            <w:r>
              <w:rPr>
                <w:rFonts w:ascii="Times New Roman" w:hAnsi="Times New Roman" w:eastAsia="宋体" w:cs="Times New Roman"/>
                <w:kern w:val="2"/>
                <w:sz w:val="21"/>
              </w:rPr>
              <w:t>.</w:t>
            </w:r>
            <w:r>
              <w:rPr>
                <w:rFonts w:hint="eastAsia" w:ascii="Times New Roman" w:hAnsi="Times New Roman" w:eastAsia="宋体" w:cs="Times New Roman"/>
                <w:kern w:val="2"/>
                <w:sz w:val="21"/>
              </w:rPr>
              <w:t>李博编著，生态学，高等教育出版社，1999年.</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5.</w:t>
            </w:r>
            <w:r>
              <w:rPr>
                <w:rFonts w:hint="eastAsia" w:ascii="Times New Roman" w:hAnsi="Times New Roman" w:eastAsia="宋体" w:cs="Times New Roman"/>
                <w:kern w:val="2"/>
                <w:sz w:val="21"/>
              </w:rPr>
              <w:t>Chapman J.L., Reiss M.J.编著，Ecology: Principles and Applications（2nd edition）清华大学出版社（影印版），2007年.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科学写作</w:t>
            </w:r>
          </w:p>
        </w:tc>
        <w:tc>
          <w:tcPr>
            <w:tcW w:w="7088" w:type="dxa"/>
          </w:tcPr>
          <w:p>
            <w:pPr>
              <w:pStyle w:val="40"/>
              <w:spacing w:line="240" w:lineRule="auto"/>
              <w:rPr>
                <w:rFonts w:ascii="Times New Roman" w:hAnsi="Times New Roman" w:eastAsia="宋体" w:cs="Times New Roman"/>
                <w:b/>
                <w:sz w:val="21"/>
              </w:rPr>
            </w:pPr>
            <w:r>
              <w:rPr>
                <w:rFonts w:ascii="Times New Roman" w:hAnsi="Times New Roman" w:eastAsia="宋体" w:cs="Times New Roman"/>
                <w:sz w:val="21"/>
              </w:rPr>
              <w:t>发表在高影响力期刊如Nature、Science以及国际经典生态学期刊如Journal of Ecology、Ecology的最近研究论文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专业英语</w:t>
            </w:r>
          </w:p>
        </w:tc>
        <w:tc>
          <w:tcPr>
            <w:tcW w:w="7088" w:type="dxa"/>
          </w:tcPr>
          <w:p>
            <w:pPr>
              <w:pStyle w:val="40"/>
              <w:spacing w:line="240" w:lineRule="auto"/>
              <w:rPr>
                <w:rFonts w:ascii="Times New Roman" w:hAnsi="Times New Roman" w:eastAsia="宋体" w:cs="Times New Roman"/>
                <w:sz w:val="21"/>
              </w:rPr>
            </w:pPr>
            <w:r>
              <w:rPr>
                <w:rFonts w:ascii="Times New Roman" w:hAnsi="Times New Roman" w:eastAsia="宋体" w:cs="Times New Roman"/>
                <w:sz w:val="21"/>
              </w:rPr>
              <w:t>发表在高影响力期刊如Nature、Science以及国际经典生态学期刊如Journal of Ecology、Ecology的最近研究论文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生态统计</w:t>
            </w:r>
            <w:r>
              <w:rPr>
                <w:rFonts w:hint="eastAsia" w:ascii="Times New Roman" w:hAnsi="Times New Roman" w:eastAsia="宋体" w:cs="Times New Roman"/>
                <w:kern w:val="2"/>
                <w:sz w:val="21"/>
              </w:rPr>
              <w:t>基础</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1.Crawley, M.J., The R Book, Second edition, Wiley. ISBN: 9781118448960.2012</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2.Gotelli, N.J. &amp; Ellison, A.M. Sinauer, A primer of ecological statistics, Second edition, ISBN: 1605350648, 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高级生态统计</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1.Scheiner, S.M. &amp; Gurevitch, J. (Eds.), Ecological models and data in R. Princeton Bolker, B.M. University Press, 2008.</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2.Montgomery, D.C., Design and analysis of experiments. 8th ed., Wiley,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生物多样性：理论与应用前沿</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 xml:space="preserve">1.Magurran, A. E., &amp; McGill, B. J. (Eds.), Biological diversity: frontiers in measurement and assessment, Oxford University Press, 2011. </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2.韩博平、官昭瑛、杨阳译，生物多样性</w:t>
            </w:r>
            <w:r>
              <w:rPr>
                <w:rFonts w:hint="eastAsia" w:ascii="Times New Roman" w:hAnsi="Times New Roman" w:eastAsia="宋体" w:cs="Times New Roman"/>
                <w:kern w:val="2"/>
                <w:sz w:val="21"/>
              </w:rPr>
              <w:t>——</w:t>
            </w:r>
            <w:r>
              <w:rPr>
                <w:rFonts w:ascii="Times New Roman" w:hAnsi="Times New Roman" w:eastAsia="宋体" w:cs="Times New Roman"/>
                <w:kern w:val="2"/>
                <w:sz w:val="21"/>
              </w:rPr>
              <w:t>测量与评估前沿</w:t>
            </w:r>
            <w:r>
              <w:rPr>
                <w:rFonts w:hint="eastAsia" w:ascii="Times New Roman" w:hAnsi="Times New Roman" w:eastAsia="宋体" w:cs="Times New Roman"/>
                <w:kern w:val="2"/>
                <w:sz w:val="21"/>
              </w:rPr>
              <w:t>（译本）</w:t>
            </w:r>
            <w:r>
              <w:rPr>
                <w:rFonts w:ascii="Times New Roman" w:hAnsi="Times New Roman" w:eastAsia="宋体" w:cs="Times New Roman"/>
                <w:kern w:val="2"/>
                <w:sz w:val="21"/>
              </w:rPr>
              <w:t>，科学出版社，2019.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生态系统过程与功能</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1.Charles D. Canham, Jonathan J. Cole, William K, Lauenroth, Models in Ecosystem Science, Princeton University Press, 2003.</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2.hapin III FS, Matson PA, Vitousek P, Principles of Terrestrial Ecosystem Ecology, CSpringer Publishing, 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城市</w:t>
            </w:r>
            <w:r>
              <w:rPr>
                <w:rFonts w:hint="eastAsia" w:ascii="Times New Roman" w:hAnsi="Times New Roman" w:eastAsia="宋体" w:cs="Times New Roman"/>
                <w:kern w:val="2"/>
                <w:sz w:val="21"/>
              </w:rPr>
              <w:t>与可持续</w:t>
            </w:r>
            <w:r>
              <w:rPr>
                <w:rFonts w:ascii="Times New Roman" w:hAnsi="Times New Roman" w:eastAsia="宋体" w:cs="Times New Roman"/>
                <w:kern w:val="2"/>
                <w:sz w:val="21"/>
              </w:rPr>
              <w:t>生态学</w:t>
            </w:r>
          </w:p>
        </w:tc>
        <w:tc>
          <w:tcPr>
            <w:tcW w:w="7088" w:type="dxa"/>
          </w:tcPr>
          <w:p>
            <w:pPr>
              <w:pStyle w:val="40"/>
              <w:spacing w:line="240" w:lineRule="auto"/>
              <w:rPr>
                <w:rFonts w:ascii="Times New Roman" w:hAnsi="Times New Roman" w:cs="Times New Roman"/>
              </w:rPr>
            </w:pPr>
            <w:r>
              <w:rPr>
                <w:rFonts w:ascii="Times New Roman" w:hAnsi="Times New Roman" w:eastAsia="宋体" w:cs="Times New Roman"/>
                <w:kern w:val="2"/>
                <w:sz w:val="21"/>
              </w:rPr>
              <w:t>1.Richard T.T. Forman, Urban Ecology: Science of Cities, Cambridge University Press, 2014.</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2.Jari Niemel et al., Urban ecology: patterns, processes, and applications. Oxford University Press, 2012.</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3.Richard T.T. Forman. Towns, Ecology and The Land, Cambridge University Press, 2019.</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4</w:t>
            </w:r>
            <w:r>
              <w:rPr>
                <w:rFonts w:ascii="Times New Roman" w:hAnsi="Times New Roman" w:eastAsia="宋体" w:cs="Times New Roman"/>
                <w:kern w:val="2"/>
                <w:sz w:val="21"/>
              </w:rPr>
              <w:t>.宋永昌，《城市生态学》，华东师范大学出版社，2000.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高级动物生态学</w:t>
            </w:r>
          </w:p>
        </w:tc>
        <w:tc>
          <w:tcPr>
            <w:tcW w:w="7088" w:type="dxa"/>
          </w:tcPr>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1.Begon et al. 2006. Ecology from Individuals to Ecosystems, Blackwell Publishing.</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2.Molles Jr M. C. 2010. Ecology: Consepts and Applications, McGraw-Hill.</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3.Legendre P &amp; Legendre L. 2012. Numerical Ecology (3rd ed.). Elsevier Publisher.</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4</w:t>
            </w:r>
            <w:r>
              <w:rPr>
                <w:rFonts w:ascii="Times New Roman" w:hAnsi="Times New Roman" w:eastAsia="宋体" w:cs="Times New Roman"/>
                <w:kern w:val="2"/>
                <w:sz w:val="21"/>
              </w:rPr>
              <w:t>.</w:t>
            </w:r>
            <w:r>
              <w:rPr>
                <w:rFonts w:hint="eastAsia" w:ascii="Times New Roman" w:hAnsi="Times New Roman" w:eastAsia="宋体" w:cs="Times New Roman"/>
                <w:kern w:val="2"/>
                <w:sz w:val="21"/>
              </w:rPr>
              <w:t>孙儒泳等著，《动物生态学原理》（第四版）</w:t>
            </w:r>
            <w:r>
              <w:rPr>
                <w:rFonts w:ascii="Times New Roman" w:hAnsi="Times New Roman" w:eastAsia="宋体" w:cs="Times New Roman"/>
                <w:kern w:val="2"/>
                <w:sz w:val="21"/>
              </w:rPr>
              <w:t>,</w:t>
            </w:r>
            <w:r>
              <w:rPr>
                <w:rFonts w:hint="eastAsia" w:ascii="Times New Roman" w:hAnsi="Times New Roman" w:eastAsia="宋体" w:cs="Times New Roman"/>
                <w:kern w:val="2"/>
                <w:sz w:val="21"/>
              </w:rPr>
              <w:t>北京大学出版社，2019.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河口海岸研究进展</w:t>
            </w:r>
          </w:p>
        </w:tc>
        <w:tc>
          <w:tcPr>
            <w:tcW w:w="7088" w:type="dxa"/>
          </w:tcPr>
          <w:p>
            <w:pPr>
              <w:rPr>
                <w:rFonts w:ascii="Times New Roman" w:hAnsi="Times New Roman" w:cs="Times New Roman"/>
                <w:sz w:val="21"/>
                <w:szCs w:val="21"/>
              </w:rPr>
            </w:pPr>
            <w:r>
              <w:rPr>
                <w:rFonts w:hint="eastAsia" w:ascii="Times New Roman" w:hAnsi="Times New Roman" w:cs="Times New Roman"/>
                <w:sz w:val="21"/>
                <w:szCs w:val="21"/>
              </w:rPr>
              <w:t>系列讲座，无教材或参考用书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ascii="Times New Roman" w:hAnsi="Times New Roman" w:eastAsia="宋体" w:cs="Times New Roman"/>
                <w:kern w:val="2"/>
                <w:sz w:val="21"/>
              </w:rPr>
              <w:t>河口海岸学</w:t>
            </w:r>
          </w:p>
        </w:tc>
        <w:tc>
          <w:tcPr>
            <w:tcW w:w="7088" w:type="dxa"/>
          </w:tcPr>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1</w:t>
            </w:r>
            <w:r>
              <w:rPr>
                <w:rFonts w:ascii="Times New Roman" w:hAnsi="Times New Roman" w:eastAsia="宋体" w:cs="Times New Roman"/>
                <w:kern w:val="2"/>
                <w:sz w:val="21"/>
              </w:rPr>
              <w:t>.</w:t>
            </w:r>
            <w:r>
              <w:rPr>
                <w:rFonts w:hint="eastAsia" w:ascii="Times New Roman" w:hAnsi="Times New Roman" w:eastAsia="宋体" w:cs="Times New Roman"/>
                <w:kern w:val="2"/>
                <w:sz w:val="21"/>
              </w:rPr>
              <w:t>赵今声等编，《河口海岸动力学》，海洋出版社，1993年.</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2.</w:t>
            </w:r>
            <w:r>
              <w:rPr>
                <w:rFonts w:hint="eastAsia" w:ascii="Times New Roman" w:hAnsi="Times New Roman" w:eastAsia="宋体" w:cs="Times New Roman"/>
                <w:kern w:val="2"/>
                <w:sz w:val="21"/>
              </w:rPr>
              <w:t>Thomas S. Bianchi著，姚庆祯、姚鹏译，《河口生物地球化学》，海洋出版社，2017年.</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3.A. Valle-Levinson, Contemporary Issues in Estuarine Physics, Cambridge University Press, 2010.</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 xml:space="preserve">4.Beer,T. et al. Global Change and Future Earth, Cambridge University Press, 2018. </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5.Day, J W.et al. Estuarine Ecology (Second Edition), John Wiley &amp; Sons, Inc. , 2012.</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6.Eric Olausson and Ingemar Cato, Chemistry and Biogeochemistry of Estuaries, New York Wiley, 1980.</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7.Frank J. Millero, Chemical Oceanography (Forth Edition), CRC Press, 2016.</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Jean-Marie Beckers and Benoit Cushman-Roisin, Introduction to Geophysical 8.Fluid Dynamics: Physical and Numerical Aspects (Second Edition), Academic Press, 2011.</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9.Judith Bosboom and Marcel J.F.Stive, Coastal Dynamics, TU Delft Open, 2021.</w:t>
            </w:r>
          </w:p>
          <w:p>
            <w:pPr>
              <w:pStyle w:val="40"/>
              <w:spacing w:line="240" w:lineRule="auto"/>
              <w:rPr>
                <w:rFonts w:ascii="Times New Roman" w:hAnsi="Times New Roman" w:eastAsia="宋体" w:cs="Times New Roman"/>
                <w:kern w:val="2"/>
                <w:sz w:val="21"/>
              </w:rPr>
            </w:pPr>
            <w:r>
              <w:rPr>
                <w:rFonts w:ascii="Times New Roman" w:hAnsi="Times New Roman" w:eastAsia="宋体" w:cs="Times New Roman"/>
                <w:kern w:val="2"/>
                <w:sz w:val="21"/>
              </w:rPr>
              <w:t>10.Odum, H. T. Systems Ecology – An Introduction, John Wiley &amp; Sons, Inc. , 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40"/>
              <w:jc w:val="left"/>
              <w:rPr>
                <w:rFonts w:ascii="Times New Roman" w:hAnsi="Times New Roman" w:eastAsia="宋体" w:cs="Times New Roman"/>
                <w:kern w:val="2"/>
                <w:sz w:val="21"/>
              </w:rPr>
            </w:pPr>
            <w:r>
              <w:rPr>
                <w:rFonts w:hint="eastAsia" w:ascii="Times New Roman" w:hAnsi="Times New Roman" w:eastAsia="宋体" w:cs="Times New Roman"/>
                <w:kern w:val="2"/>
                <w:sz w:val="21"/>
              </w:rPr>
              <w:t>水生生物学总论</w:t>
            </w:r>
          </w:p>
        </w:tc>
        <w:tc>
          <w:tcPr>
            <w:tcW w:w="7088" w:type="dxa"/>
          </w:tcPr>
          <w:p>
            <w:pPr>
              <w:pStyle w:val="40"/>
              <w:spacing w:line="240" w:lineRule="auto"/>
              <w:jc w:val="left"/>
              <w:rPr>
                <w:rFonts w:ascii="Times New Roman" w:hAnsi="Times New Roman" w:eastAsia="宋体" w:cs="Times New Roman"/>
                <w:kern w:val="2"/>
                <w:sz w:val="21"/>
              </w:rPr>
            </w:pPr>
            <w:r>
              <w:rPr>
                <w:rFonts w:ascii="Times New Roman" w:hAnsi="Times New Roman" w:eastAsia="宋体" w:cs="Times New Roman"/>
                <w:kern w:val="2"/>
                <w:sz w:val="21"/>
              </w:rPr>
              <w:t>1.Human influences on nitrogen removal in lakes, Science, 342: 247-250, 2013.</w:t>
            </w:r>
          </w:p>
          <w:p>
            <w:pPr>
              <w:pStyle w:val="40"/>
              <w:spacing w:line="240" w:lineRule="auto"/>
              <w:jc w:val="left"/>
              <w:rPr>
                <w:rFonts w:ascii="Times New Roman" w:hAnsi="Times New Roman" w:eastAsia="宋体" w:cs="Times New Roman"/>
                <w:kern w:val="2"/>
                <w:sz w:val="21"/>
              </w:rPr>
            </w:pPr>
            <w:r>
              <w:rPr>
                <w:rFonts w:ascii="Times New Roman" w:hAnsi="Times New Roman" w:eastAsia="宋体" w:cs="Times New Roman"/>
                <w:kern w:val="2"/>
                <w:sz w:val="21"/>
              </w:rPr>
              <w:t>2.Resilience to blooms, Science, 334: 46-47, 2011.</w:t>
            </w:r>
          </w:p>
          <w:p>
            <w:pPr>
              <w:pStyle w:val="40"/>
              <w:spacing w:line="240" w:lineRule="auto"/>
              <w:jc w:val="left"/>
              <w:rPr>
                <w:rFonts w:ascii="Times New Roman" w:hAnsi="Times New Roman" w:eastAsia="宋体" w:cs="Times New Roman"/>
                <w:kern w:val="2"/>
                <w:sz w:val="21"/>
              </w:rPr>
            </w:pPr>
            <w:r>
              <w:rPr>
                <w:rFonts w:ascii="Times New Roman" w:hAnsi="Times New Roman" w:eastAsia="宋体" w:cs="Times New Roman"/>
                <w:kern w:val="2"/>
                <w:sz w:val="21"/>
              </w:rPr>
              <w:t>3.China aims to turn tide against toxic lake pollution, Science, 333: 1210-1211, 2011.</w:t>
            </w:r>
          </w:p>
          <w:p>
            <w:pPr>
              <w:pStyle w:val="40"/>
              <w:spacing w:line="240" w:lineRule="auto"/>
              <w:jc w:val="left"/>
              <w:rPr>
                <w:rFonts w:ascii="Times New Roman" w:hAnsi="Times New Roman" w:cs="Times New Roman"/>
                <w:sz w:val="21"/>
              </w:rPr>
            </w:pPr>
            <w:r>
              <w:rPr>
                <w:rFonts w:ascii="Times New Roman" w:hAnsi="Times New Roman" w:eastAsia="宋体" w:cs="Times New Roman"/>
                <w:kern w:val="2"/>
                <w:sz w:val="21"/>
              </w:rPr>
              <w:t>4.Winfried Lampert,</w:t>
            </w:r>
            <w:r>
              <w:rPr>
                <w:rFonts w:hint="eastAsia" w:ascii="Times New Roman" w:hAnsi="Times New Roman" w:eastAsia="宋体" w:cs="Times New Roman"/>
                <w:kern w:val="2"/>
                <w:sz w:val="21"/>
              </w:rPr>
              <w:t xml:space="preserve"> </w:t>
            </w:r>
            <w:r>
              <w:rPr>
                <w:rFonts w:ascii="Times New Roman" w:hAnsi="Times New Roman" w:eastAsia="宋体" w:cs="Times New Roman"/>
                <w:kern w:val="2"/>
                <w:sz w:val="21"/>
              </w:rPr>
              <w:t xml:space="preserve">Limnoecology </w:t>
            </w:r>
            <w:r>
              <w:rPr>
                <w:rFonts w:hint="eastAsia" w:ascii="Times New Roman" w:hAnsi="Times New Roman" w:eastAsia="宋体" w:cs="Times New Roman"/>
                <w:kern w:val="2"/>
                <w:sz w:val="21"/>
              </w:rPr>
              <w:t>(</w:t>
            </w:r>
            <w:r>
              <w:rPr>
                <w:rFonts w:ascii="Times New Roman" w:hAnsi="Times New Roman" w:eastAsia="宋体" w:cs="Times New Roman"/>
                <w:kern w:val="2"/>
                <w:sz w:val="21"/>
              </w:rPr>
              <w:t>2nd ed.</w:t>
            </w:r>
            <w:r>
              <w:rPr>
                <w:rFonts w:hint="eastAsia" w:ascii="Times New Roman" w:hAnsi="Times New Roman" w:eastAsia="宋体" w:cs="Times New Roman"/>
                <w:kern w:val="2"/>
                <w:sz w:val="21"/>
              </w:rPr>
              <w:t>)</w:t>
            </w:r>
            <w:r>
              <w:rPr>
                <w:rFonts w:ascii="Times New Roman" w:hAnsi="Times New Roman" w:eastAsia="宋体" w:cs="Times New Roman"/>
                <w:kern w:val="2"/>
                <w:sz w:val="21"/>
              </w:rPr>
              <w:t>, Oxford University Press, 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260" w:lineRule="exact"/>
              <w:rPr>
                <w:rFonts w:ascii="Times New Roman" w:hAnsi="Times New Roman" w:cs="Times New Roman"/>
                <w:sz w:val="21"/>
                <w:szCs w:val="21"/>
              </w:rPr>
            </w:pPr>
            <w:r>
              <w:rPr>
                <w:rFonts w:ascii="Times New Roman" w:hAnsi="Times New Roman" w:cs="Times New Roman"/>
                <w:sz w:val="21"/>
                <w:szCs w:val="21"/>
              </w:rPr>
              <w:t>形态观察技术与原理</w:t>
            </w:r>
          </w:p>
        </w:tc>
        <w:tc>
          <w:tcPr>
            <w:tcW w:w="7088" w:type="dxa"/>
          </w:tcPr>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1</w:t>
            </w:r>
            <w:r>
              <w:rPr>
                <w:rFonts w:ascii="Times New Roman" w:hAnsi="Times New Roman" w:eastAsia="宋体" w:cs="Times New Roman"/>
                <w:kern w:val="2"/>
                <w:sz w:val="21"/>
              </w:rPr>
              <w:t>.</w:t>
            </w:r>
            <w:r>
              <w:rPr>
                <w:rFonts w:hint="eastAsia" w:ascii="Times New Roman" w:hAnsi="Times New Roman" w:eastAsia="宋体" w:cs="Times New Roman"/>
                <w:kern w:val="2"/>
                <w:sz w:val="21"/>
              </w:rPr>
              <w:t>施新路主编，光学显微镜及生物摄影基础，科学出版社2002年.</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2</w:t>
            </w:r>
            <w:r>
              <w:rPr>
                <w:rFonts w:ascii="Times New Roman" w:hAnsi="Times New Roman" w:eastAsia="宋体" w:cs="Times New Roman"/>
                <w:kern w:val="2"/>
                <w:sz w:val="21"/>
              </w:rPr>
              <w:t>.</w:t>
            </w:r>
            <w:r>
              <w:rPr>
                <w:rFonts w:hint="eastAsia" w:ascii="Times New Roman" w:hAnsi="Times New Roman" w:eastAsia="宋体" w:cs="Times New Roman"/>
                <w:kern w:val="2"/>
                <w:sz w:val="21"/>
              </w:rPr>
              <w:t>曹汉民主编，生物电子显微镜实验技术，华东师范大学出版社，1990年.</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3</w:t>
            </w:r>
            <w:r>
              <w:rPr>
                <w:rFonts w:ascii="Times New Roman" w:hAnsi="Times New Roman" w:eastAsia="宋体" w:cs="Times New Roman"/>
                <w:kern w:val="2"/>
                <w:sz w:val="21"/>
              </w:rPr>
              <w:t>.</w:t>
            </w:r>
            <w:r>
              <w:rPr>
                <w:rFonts w:hint="eastAsia" w:ascii="Times New Roman" w:hAnsi="Times New Roman" w:eastAsia="宋体" w:cs="Times New Roman"/>
                <w:kern w:val="2"/>
                <w:sz w:val="21"/>
              </w:rPr>
              <w:t>洪涛主编，生物医学超微结构与电子显微镜技术，科学出版社，1980年.</w:t>
            </w:r>
          </w:p>
          <w:p>
            <w:pPr>
              <w:pStyle w:val="40"/>
              <w:spacing w:line="240" w:lineRule="auto"/>
              <w:rPr>
                <w:rFonts w:ascii="Times New Roman" w:hAnsi="Times New Roman" w:eastAsia="宋体" w:cs="Times New Roman"/>
                <w:kern w:val="2"/>
                <w:sz w:val="21"/>
              </w:rPr>
            </w:pPr>
            <w:r>
              <w:rPr>
                <w:rFonts w:hint="eastAsia" w:ascii="Times New Roman" w:hAnsi="Times New Roman" w:eastAsia="宋体" w:cs="Times New Roman"/>
                <w:kern w:val="2"/>
                <w:sz w:val="21"/>
              </w:rPr>
              <w:t>4</w:t>
            </w:r>
            <w:r>
              <w:rPr>
                <w:rFonts w:ascii="Times New Roman" w:hAnsi="Times New Roman" w:eastAsia="宋体" w:cs="Times New Roman"/>
                <w:kern w:val="2"/>
                <w:sz w:val="21"/>
              </w:rPr>
              <w:t>.</w:t>
            </w:r>
            <w:r>
              <w:rPr>
                <w:rFonts w:hint="eastAsia" w:ascii="Times New Roman" w:hAnsi="Times New Roman" w:eastAsia="宋体" w:cs="Times New Roman"/>
                <w:kern w:val="2"/>
                <w:sz w:val="21"/>
              </w:rPr>
              <w:t>杨勇骥编，医学生物电子显微镜技术，上海第二军医大学出版社，2012年.</w:t>
            </w:r>
          </w:p>
        </w:tc>
      </w:tr>
    </w:tbl>
    <w:p>
      <w:pPr>
        <w:autoSpaceDE w:val="0"/>
        <w:autoSpaceDN w:val="0"/>
        <w:adjustRightInd w:val="0"/>
        <w:rPr>
          <w:rFonts w:ascii="黑体" w:hAnsi="Times New Roman" w:eastAsia="黑体" w:cs="黑体"/>
          <w:color w:val="000000"/>
        </w:rPr>
      </w:pPr>
    </w:p>
    <w:p>
      <w:pPr>
        <w:spacing w:before="156" w:beforeLines="50" w:after="156" w:afterLines="50"/>
        <w:ind w:firstLine="480" w:firstLineChars="200"/>
        <w:rPr>
          <w:rFonts w:cs="Times New Roman"/>
          <w:szCs w:val="21"/>
        </w:rPr>
      </w:pPr>
      <w:r>
        <w:rPr>
          <w:rFonts w:hint="eastAsia" w:ascii="黑体" w:hAnsi="黑体" w:eastAsia="黑体" w:cs="Times New Roman"/>
        </w:rPr>
        <w:t>十一、基本文献阅读书目</w:t>
      </w:r>
      <w:r>
        <w:rPr>
          <w:rFonts w:hint="eastAsia" w:cs="Times New Roman"/>
          <w:szCs w:val="21"/>
        </w:rPr>
        <w:t xml:space="preserve"> </w:t>
      </w:r>
    </w:p>
    <w:p>
      <w:pPr>
        <w:numPr>
          <w:ilvl w:val="0"/>
          <w:numId w:val="3"/>
        </w:numPr>
        <w:spacing w:before="156" w:beforeLines="50" w:after="156" w:afterLines="50"/>
        <w:ind w:left="840"/>
        <w:rPr>
          <w:rStyle w:val="42"/>
          <w:rFonts w:ascii="Times New Roman" w:hAnsi="Times New Roman" w:eastAsia="宋体" w:cs="Times New Roman"/>
          <w:b/>
          <w:bCs/>
        </w:rPr>
      </w:pPr>
      <w:r>
        <w:rPr>
          <w:rStyle w:val="42"/>
          <w:rFonts w:ascii="Times New Roman" w:hAnsi="Times New Roman" w:eastAsia="宋体" w:cs="Times New Roman"/>
          <w:b/>
          <w:bCs/>
        </w:rPr>
        <w:t>书目</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 xml:space="preserve">Odum EP &amp; Barrett GW. 2004. Fundamentals of Ecology (5th Edition). Saunders Company, Philadelphia, USA. </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Scheiner SM &amp; Gurevitch J. 2001. Design and Analysis of Ecological Experiments (2nd Edition). Oxford University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 xml:space="preserve">Molles Jr. MC &amp; Sher AA. 2018. Ecology: Concepts and Applications (8th Edition). McGraw-Hill Education. </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 xml:space="preserve">Begon M, Townsend CR &amp; Harper JL. 2006. Ecology: From Individuals to Ecosystems. Blackwell Publishing , Oxford, UK. </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Mittelbach GG &amp; McGill B. 2019. Community Ecology (2nd ed.). Oxford University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Lomolino MV, Riddle BR, Whittaker RJ. 2016. Biogeography: Biological Diversity across Space and Time (5th ed.). Sinauer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 xml:space="preserve">Agren GI, Andersson FO. 2012. Terrestrial Ecosystem Ecology: Principles and Applications. Cambridge University Press. </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Bonan G. 2019. Climate Change and Terrestrial Ecosystem Modeling. Cambridge University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Chapin FS III, Matson PA, Vitousek PM. 2011. Principles of Terrestrial Ecosystem Ecology (2nd ed.). Springer, New York.</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Craft C. 2015. Creating and Restoring Wetlands: From Theory to Practice. Elsevier.</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Forman RTT. 2014. Urban Ecology: Science of Cities . Cambridge: Cambridge University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Niemelä J, Breuste JH, Guntenspergen G, McIntyre NE, Elmqvist T, James P. 2012. Urban ecology : patterns, processes, and applications. Oxford ; New York: Oxford University Press.</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Mitsch WJ &amp; Gosselink JG. 2007. Wetlands (4th ed.), John Wiley &amp; Sons, Inc.</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方精云. 全球生态学：气候变化与生态响应. 北京：高等教育出版社, 2000.</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傅伯杰等. 景观生态学原理及应用(第二版). 北京：科学出版社, 2016.</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沈国英、施并章. 海洋生态学（第二版）. 北京：科学出版社, 2002.</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宋永昌. 城市生态学. 上海：华东师范大学出版社, 2000.</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宋永昌. 植被生态学. 北京：高等教育出版社, 2017.</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孙儒泳、王德华、牛翠娟、刘定震、张立. 动物生态学原理（第四版）. 北京：北京师范大学出版社, 2019.</w:t>
      </w:r>
    </w:p>
    <w:p>
      <w:pPr>
        <w:numPr>
          <w:ilvl w:val="0"/>
          <w:numId w:val="4"/>
        </w:numPr>
        <w:ind w:left="845"/>
        <w:rPr>
          <w:rStyle w:val="42"/>
          <w:rFonts w:ascii="Times New Roman" w:hAnsi="Times New Roman" w:eastAsia="宋体" w:cs="Times New Roman"/>
        </w:rPr>
      </w:pPr>
      <w:r>
        <w:rPr>
          <w:rStyle w:val="42"/>
          <w:rFonts w:ascii="Times New Roman" w:hAnsi="Times New Roman" w:eastAsia="宋体" w:cs="Times New Roman"/>
        </w:rPr>
        <w:t>张大勇. 理论生态学研究. 北京：高等教育出版社, 2000.</w:t>
      </w:r>
    </w:p>
    <w:p>
      <w:pPr>
        <w:numPr>
          <w:ilvl w:val="0"/>
          <w:numId w:val="3"/>
        </w:numPr>
        <w:spacing w:before="156" w:beforeLines="50" w:after="156" w:afterLines="50"/>
        <w:ind w:left="840"/>
        <w:rPr>
          <w:rStyle w:val="42"/>
          <w:rFonts w:ascii="Times New Roman" w:hAnsi="Times New Roman" w:eastAsia="宋体" w:cs="Times New Roman"/>
          <w:b/>
          <w:bCs/>
        </w:rPr>
      </w:pPr>
      <w:r>
        <w:rPr>
          <w:rStyle w:val="42"/>
          <w:rFonts w:ascii="Times New Roman" w:hAnsi="Times New Roman" w:eastAsia="宋体" w:cs="Times New Roman"/>
          <w:b/>
          <w:bCs/>
        </w:rPr>
        <w:t>学术期刊</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Annual Review of Ecology, Evolution &amp; Systematics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Trends in Ecology &amp; Evolution</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Nature Ecology &amp; Evolution</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ISME Journal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Ecology Letters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Frontiers in Ecology &amp; Environments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Global Change Biology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Ecological Monographs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Ecology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Journal of Ecology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Methods in Ecology and Evolution</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American Naturalist</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New Phytologist</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Proceedings of the Royal Society B: Biological Sciences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Molecular Ecology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Conservation Biology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Evolutionary Applications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Journal of Animal Ecology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Auk</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Herpetological Monographs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Mammal Reviews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Global Ecology and Biogeography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Journal of Applied Ecology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Ecosystems</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Estuaries, Coasts and Shelf Science,</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JGR-Biogeoscience</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Landscape Ecology</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Landscape and Urban Planning</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 xml:space="preserve">Urban Forestry and Urban Greening </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Resource Conservation and Recycling</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植物生态学报</w:t>
      </w:r>
    </w:p>
    <w:p>
      <w:pPr>
        <w:numPr>
          <w:ilvl w:val="0"/>
          <w:numId w:val="5"/>
        </w:numPr>
        <w:ind w:left="845"/>
        <w:rPr>
          <w:rStyle w:val="42"/>
          <w:rFonts w:ascii="Times New Roman" w:hAnsi="Times New Roman" w:eastAsia="宋体" w:cs="Times New Roman"/>
        </w:rPr>
      </w:pPr>
      <w:r>
        <w:rPr>
          <w:rStyle w:val="42"/>
          <w:rFonts w:ascii="Times New Roman" w:hAnsi="Times New Roman" w:eastAsia="宋体" w:cs="Times New Roman"/>
        </w:rPr>
        <w:t>生物多样性</w:t>
      </w:r>
    </w:p>
    <w:p>
      <w:pPr>
        <w:numPr>
          <w:ilvl w:val="0"/>
          <w:numId w:val="5"/>
        </w:numPr>
        <w:ind w:left="845"/>
        <w:rPr>
          <w:rFonts w:ascii="黑体" w:hAnsi="黑体" w:eastAsia="黑体" w:cs="Times New Roman"/>
        </w:rPr>
      </w:pPr>
      <w:r>
        <w:rPr>
          <w:rStyle w:val="42"/>
          <w:rFonts w:ascii="Times New Roman" w:hAnsi="Times New Roman" w:eastAsia="宋体" w:cs="Times New Roman"/>
        </w:rPr>
        <w:t>生态</w:t>
      </w:r>
      <w:r>
        <w:rPr>
          <w:rStyle w:val="42"/>
          <w:rFonts w:hint="eastAsia" w:ascii="Times New Roman" w:hAnsi="Times New Roman" w:eastAsia="宋体" w:cs="Times New Roman"/>
        </w:rPr>
        <w:t>学报</w:t>
      </w:r>
    </w:p>
    <w:sectPr>
      <w:footerReference r:id="rId3" w:type="default"/>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Songti SC">
    <w:altName w:val="华文楷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0000008"/>
    <w:multiLevelType w:val="singleLevel"/>
    <w:tmpl w:val="00000008"/>
    <w:lvl w:ilvl="0" w:tentative="0">
      <w:start w:val="1"/>
      <w:numFmt w:val="bullet"/>
      <w:lvlText w:val=""/>
      <w:lvlJc w:val="left"/>
      <w:pPr>
        <w:ind w:left="420" w:hanging="420"/>
      </w:pPr>
      <w:rPr>
        <w:rFonts w:hint="default" w:ascii="Wingdings" w:hAnsi="Wingdings"/>
      </w:rPr>
    </w:lvl>
  </w:abstractNum>
  <w:abstractNum w:abstractNumId="2">
    <w:nsid w:val="00000010"/>
    <w:multiLevelType w:val="multilevel"/>
    <w:tmpl w:val="000000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0000015"/>
    <w:multiLevelType w:val="singleLevel"/>
    <w:tmpl w:val="00000015"/>
    <w:lvl w:ilvl="0" w:tentative="0">
      <w:start w:val="1"/>
      <w:numFmt w:val="decimal"/>
      <w:lvlText w:val="%1."/>
      <w:lvlJc w:val="left"/>
      <w:pPr>
        <w:ind w:left="1133" w:hanging="425"/>
      </w:pPr>
      <w:rPr>
        <w:rFonts w:hint="default" w:ascii="Times New Roman" w:hAnsi="Times New Roman" w:cs="Times New Roman"/>
        <w:sz w:val="21"/>
        <w:szCs w:val="21"/>
      </w:rPr>
    </w:lvl>
  </w:abstractNum>
  <w:abstractNum w:abstractNumId="4">
    <w:nsid w:val="526D67AD"/>
    <w:multiLevelType w:val="multilevel"/>
    <w:tmpl w:val="526D67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B0"/>
    <w:rsid w:val="000A2145"/>
    <w:rsid w:val="000F0C72"/>
    <w:rsid w:val="001167A9"/>
    <w:rsid w:val="001A0E37"/>
    <w:rsid w:val="001F343C"/>
    <w:rsid w:val="0024281E"/>
    <w:rsid w:val="002B073B"/>
    <w:rsid w:val="00387C79"/>
    <w:rsid w:val="003B21CB"/>
    <w:rsid w:val="003B2C95"/>
    <w:rsid w:val="004476D4"/>
    <w:rsid w:val="004B6E8E"/>
    <w:rsid w:val="00563191"/>
    <w:rsid w:val="005664D4"/>
    <w:rsid w:val="005A5BD6"/>
    <w:rsid w:val="006108E3"/>
    <w:rsid w:val="006432A5"/>
    <w:rsid w:val="00670E8F"/>
    <w:rsid w:val="00684D0A"/>
    <w:rsid w:val="006B09C8"/>
    <w:rsid w:val="006E3BA0"/>
    <w:rsid w:val="007230AF"/>
    <w:rsid w:val="007D677B"/>
    <w:rsid w:val="007E500C"/>
    <w:rsid w:val="007F16A7"/>
    <w:rsid w:val="0085314D"/>
    <w:rsid w:val="00861F18"/>
    <w:rsid w:val="00881F09"/>
    <w:rsid w:val="008E74DE"/>
    <w:rsid w:val="0095704C"/>
    <w:rsid w:val="00967B18"/>
    <w:rsid w:val="00974EE8"/>
    <w:rsid w:val="00982D31"/>
    <w:rsid w:val="00992128"/>
    <w:rsid w:val="00AC2393"/>
    <w:rsid w:val="00AC7493"/>
    <w:rsid w:val="00B45092"/>
    <w:rsid w:val="00BB364B"/>
    <w:rsid w:val="00BB46E6"/>
    <w:rsid w:val="00BD4612"/>
    <w:rsid w:val="00C0242B"/>
    <w:rsid w:val="00C465D4"/>
    <w:rsid w:val="00C47E72"/>
    <w:rsid w:val="00D36449"/>
    <w:rsid w:val="00D4310F"/>
    <w:rsid w:val="00D47F2F"/>
    <w:rsid w:val="00DC1002"/>
    <w:rsid w:val="00E04DFA"/>
    <w:rsid w:val="00E174BB"/>
    <w:rsid w:val="00EA09F3"/>
    <w:rsid w:val="00EB4AE1"/>
    <w:rsid w:val="00EC1570"/>
    <w:rsid w:val="00EE2D9B"/>
    <w:rsid w:val="00FB70B0"/>
    <w:rsid w:val="3918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8"/>
    <w:qFormat/>
    <w:uiPriority w:val="0"/>
    <w:pPr>
      <w:keepNext/>
      <w:widowControl w:val="0"/>
      <w:jc w:val="center"/>
      <w:outlineLvl w:val="0"/>
    </w:pPr>
    <w:rPr>
      <w:rFonts w:ascii="Times New Roman" w:hAnsi="Times New Roman" w:cs="Times New Roman"/>
      <w:b/>
      <w:kern w:val="2"/>
      <w:sz w:val="30"/>
      <w:szCs w:val="20"/>
    </w:rPr>
  </w:style>
  <w:style w:type="paragraph" w:styleId="3">
    <w:name w:val="heading 2"/>
    <w:basedOn w:val="1"/>
    <w:next w:val="1"/>
    <w:link w:val="19"/>
    <w:qFormat/>
    <w:uiPriority w:val="0"/>
    <w:pPr>
      <w:keepNext/>
      <w:widowControl w:val="0"/>
      <w:jc w:val="both"/>
      <w:outlineLvl w:val="1"/>
    </w:pPr>
    <w:rPr>
      <w:rFonts w:ascii="Times New Roman" w:hAnsi="Times New Roman" w:cs="Times New Roman"/>
      <w:b/>
      <w:kern w:val="2"/>
      <w:sz w:val="21"/>
      <w:szCs w:val="20"/>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Times New Roman" w:hAnsi="Times New Roman" w:cs="Times New Roman"/>
      <w:kern w:val="2"/>
      <w:sz w:val="21"/>
    </w:rPr>
  </w:style>
  <w:style w:type="paragraph" w:styleId="5">
    <w:name w:val="Document Map"/>
    <w:basedOn w:val="1"/>
    <w:link w:val="32"/>
    <w:uiPriority w:val="0"/>
    <w:pPr>
      <w:shd w:val="clear" w:color="auto" w:fill="000080"/>
    </w:pPr>
    <w:rPr>
      <w:rFonts w:ascii="Times New Roman" w:hAnsi="Times New Roman" w:cs="Times New Roman"/>
      <w:szCs w:val="20"/>
    </w:rPr>
  </w:style>
  <w:style w:type="paragraph" w:styleId="6">
    <w:name w:val="annotation text"/>
    <w:basedOn w:val="1"/>
    <w:link w:val="39"/>
    <w:uiPriority w:val="99"/>
  </w:style>
  <w:style w:type="paragraph" w:styleId="7">
    <w:name w:val="Body Text"/>
    <w:basedOn w:val="1"/>
    <w:link w:val="26"/>
    <w:uiPriority w:val="99"/>
    <w:pPr>
      <w:widowControl w:val="0"/>
      <w:spacing w:after="120"/>
      <w:jc w:val="both"/>
    </w:pPr>
    <w:rPr>
      <w:rFonts w:ascii="Calibri" w:hAnsi="Calibri"/>
      <w:kern w:val="2"/>
      <w:sz w:val="21"/>
      <w:szCs w:val="22"/>
    </w:rPr>
  </w:style>
  <w:style w:type="paragraph" w:styleId="8">
    <w:name w:val="Plain Text"/>
    <w:basedOn w:val="1"/>
    <w:link w:val="45"/>
    <w:qFormat/>
    <w:uiPriority w:val="0"/>
    <w:pPr>
      <w:widowControl w:val="0"/>
      <w:jc w:val="both"/>
    </w:pPr>
    <w:rPr>
      <w:rFonts w:hAnsi="Courier New" w:cs="Times New Roman"/>
      <w:kern w:val="2"/>
      <w:sz w:val="21"/>
      <w:szCs w:val="20"/>
    </w:rPr>
  </w:style>
  <w:style w:type="paragraph" w:styleId="9">
    <w:name w:val="Balloon Text"/>
    <w:basedOn w:val="1"/>
    <w:link w:val="20"/>
    <w:qFormat/>
    <w:uiPriority w:val="0"/>
    <w:pPr>
      <w:widowControl w:val="0"/>
      <w:jc w:val="both"/>
    </w:pPr>
    <w:rPr>
      <w:rFonts w:ascii="Calibri" w:hAnsi="Calibri"/>
      <w:kern w:val="2"/>
      <w:sz w:val="18"/>
      <w:szCs w:val="18"/>
    </w:rPr>
  </w:style>
  <w:style w:type="paragraph" w:styleId="10">
    <w:name w:val="footer"/>
    <w:basedOn w:val="1"/>
    <w:link w:val="21"/>
    <w:uiPriority w:val="99"/>
    <w:pPr>
      <w:widowControl w:val="0"/>
      <w:tabs>
        <w:tab w:val="center" w:pos="4153"/>
        <w:tab w:val="right" w:pos="8306"/>
      </w:tabs>
      <w:snapToGrid w:val="0"/>
    </w:pPr>
    <w:rPr>
      <w:rFonts w:ascii="Calibri" w:hAnsi="Calibri"/>
      <w:kern w:val="2"/>
      <w:sz w:val="18"/>
      <w:szCs w:val="18"/>
    </w:rPr>
  </w:style>
  <w:style w:type="paragraph" w:styleId="11">
    <w:name w:val="header"/>
    <w:basedOn w:val="1"/>
    <w:link w:val="22"/>
    <w:uiPriority w:val="99"/>
    <w:pPr>
      <w:widowControl w:val="0"/>
      <w:pBdr>
        <w:bottom w:val="single" w:color="auto" w:sz="6" w:space="1"/>
      </w:pBdr>
      <w:tabs>
        <w:tab w:val="center" w:pos="4153"/>
        <w:tab w:val="right" w:pos="8306"/>
      </w:tabs>
      <w:snapToGrid w:val="0"/>
      <w:jc w:val="center"/>
    </w:pPr>
    <w:rPr>
      <w:rFonts w:ascii="Calibri" w:hAnsi="Calibri"/>
      <w:kern w:val="2"/>
      <w:sz w:val="18"/>
      <w:szCs w:val="18"/>
    </w:rPr>
  </w:style>
  <w:style w:type="paragraph" w:styleId="12">
    <w:name w:val="HTML Preformatted"/>
    <w:basedOn w:val="1"/>
    <w:link w:val="23"/>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paragraph" w:styleId="13">
    <w:name w:val="Normal (Web)"/>
    <w:basedOn w:val="1"/>
    <w:qFormat/>
    <w:uiPriority w:val="99"/>
    <w:pPr>
      <w:spacing w:before="100" w:beforeAutospacing="1" w:after="100" w:afterAutospacing="1"/>
    </w:pPr>
  </w:style>
  <w:style w:type="paragraph" w:styleId="14">
    <w:name w:val="Title"/>
    <w:basedOn w:val="1"/>
    <w:next w:val="1"/>
    <w:link w:val="28"/>
    <w:qFormat/>
    <w:uiPriority w:val="10"/>
    <w:pPr>
      <w:widowControl w:val="0"/>
      <w:spacing w:before="240" w:after="60"/>
      <w:jc w:val="center"/>
      <w:outlineLvl w:val="0"/>
    </w:pPr>
    <w:rPr>
      <w:rFonts w:ascii="Calibri Light" w:hAnsi="Calibri Light" w:cs="Times New Roman"/>
      <w:b/>
      <w:bCs/>
      <w:sz w:val="32"/>
      <w:szCs w:val="32"/>
    </w:rPr>
  </w:style>
  <w:style w:type="table" w:styleId="16">
    <w:name w:val="Table Grid"/>
    <w:basedOn w:val="15"/>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link w:val="2"/>
    <w:qFormat/>
    <w:uiPriority w:val="0"/>
    <w:rPr>
      <w:b/>
      <w:kern w:val="2"/>
      <w:sz w:val="30"/>
    </w:rPr>
  </w:style>
  <w:style w:type="character" w:customStyle="1" w:styleId="19">
    <w:name w:val="标题 2 字符"/>
    <w:link w:val="3"/>
    <w:qFormat/>
    <w:uiPriority w:val="0"/>
    <w:rPr>
      <w:b/>
      <w:kern w:val="2"/>
      <w:sz w:val="21"/>
    </w:rPr>
  </w:style>
  <w:style w:type="character" w:customStyle="1" w:styleId="20">
    <w:name w:val="批注框文本 字符"/>
    <w:link w:val="9"/>
    <w:uiPriority w:val="0"/>
    <w:rPr>
      <w:sz w:val="18"/>
      <w:szCs w:val="18"/>
    </w:rPr>
  </w:style>
  <w:style w:type="character" w:customStyle="1" w:styleId="21">
    <w:name w:val="页脚 字符"/>
    <w:link w:val="10"/>
    <w:uiPriority w:val="99"/>
    <w:rPr>
      <w:sz w:val="18"/>
      <w:szCs w:val="18"/>
    </w:rPr>
  </w:style>
  <w:style w:type="character" w:customStyle="1" w:styleId="22">
    <w:name w:val="页眉 字符"/>
    <w:link w:val="11"/>
    <w:uiPriority w:val="99"/>
    <w:rPr>
      <w:sz w:val="18"/>
      <w:szCs w:val="18"/>
    </w:rPr>
  </w:style>
  <w:style w:type="character" w:customStyle="1" w:styleId="23">
    <w:name w:val="HTML 预设格式 字符"/>
    <w:link w:val="12"/>
    <w:qFormat/>
    <w:uiPriority w:val="99"/>
    <w:rPr>
      <w:rFonts w:ascii="Arial" w:hAnsi="Arial" w:eastAsia="宋体" w:cs="Arial"/>
      <w:kern w:val="0"/>
      <w:sz w:val="24"/>
      <w:szCs w:val="24"/>
    </w:rPr>
  </w:style>
  <w:style w:type="paragraph" w:customStyle="1" w:styleId="24">
    <w:name w:val="Table Paragraph"/>
    <w:basedOn w:val="1"/>
    <w:qFormat/>
    <w:uiPriority w:val="1"/>
    <w:pPr>
      <w:widowControl w:val="0"/>
    </w:pPr>
    <w:rPr>
      <w:rFonts w:ascii="Calibri" w:hAnsi="Calibri"/>
      <w:sz w:val="22"/>
      <w:szCs w:val="22"/>
      <w:lang w:eastAsia="en-US"/>
    </w:rPr>
  </w:style>
  <w:style w:type="paragraph" w:customStyle="1" w:styleId="25">
    <w:name w:val="填入的文字"/>
    <w:basedOn w:val="7"/>
    <w:link w:val="27"/>
    <w:qFormat/>
    <w:uiPriority w:val="0"/>
  </w:style>
  <w:style w:type="character" w:customStyle="1" w:styleId="26">
    <w:name w:val="正文文本 字符"/>
    <w:link w:val="7"/>
    <w:uiPriority w:val="99"/>
    <w:rPr>
      <w:rFonts w:ascii="Calibri" w:hAnsi="Calibri" w:eastAsia="宋体" w:cs="宋体"/>
      <w:kern w:val="2"/>
      <w:sz w:val="21"/>
      <w:szCs w:val="22"/>
    </w:rPr>
  </w:style>
  <w:style w:type="character" w:customStyle="1" w:styleId="27">
    <w:name w:val="填入的文字 Char"/>
    <w:link w:val="25"/>
    <w:qFormat/>
    <w:uiPriority w:val="0"/>
    <w:rPr>
      <w:rFonts w:ascii="Calibri" w:hAnsi="Calibri" w:eastAsia="宋体" w:cs="宋体"/>
      <w:kern w:val="2"/>
      <w:sz w:val="21"/>
      <w:szCs w:val="22"/>
    </w:rPr>
  </w:style>
  <w:style w:type="character" w:customStyle="1" w:styleId="28">
    <w:name w:val="标题 字符"/>
    <w:link w:val="14"/>
    <w:qFormat/>
    <w:uiPriority w:val="10"/>
    <w:rPr>
      <w:rFonts w:ascii="Calibri Light" w:hAnsi="Calibri Light"/>
      <w:b/>
      <w:bCs/>
      <w:sz w:val="32"/>
      <w:szCs w:val="32"/>
    </w:rPr>
  </w:style>
  <w:style w:type="paragraph" w:customStyle="1" w:styleId="29">
    <w:name w:val="简单回函地址"/>
    <w:basedOn w:val="1"/>
    <w:uiPriority w:val="0"/>
    <w:pPr>
      <w:widowControl w:val="0"/>
      <w:jc w:val="both"/>
    </w:pPr>
    <w:rPr>
      <w:rFonts w:ascii="Times New Roman" w:hAnsi="Times New Roman" w:cs="Times New Roman"/>
      <w:kern w:val="2"/>
      <w:sz w:val="21"/>
      <w:szCs w:val="20"/>
    </w:rPr>
  </w:style>
  <w:style w:type="character" w:customStyle="1" w:styleId="30">
    <w:name w:val="标题 字符1"/>
    <w:qFormat/>
    <w:uiPriority w:val="10"/>
    <w:rPr>
      <w:rFonts w:ascii="Calibri Light" w:hAnsi="Calibri Light" w:eastAsia="宋体" w:cs="宋体"/>
      <w:b/>
      <w:bCs/>
      <w:kern w:val="2"/>
      <w:sz w:val="32"/>
      <w:szCs w:val="32"/>
    </w:rPr>
  </w:style>
  <w:style w:type="character" w:customStyle="1" w:styleId="31">
    <w:name w:val="标题 Char1"/>
    <w:uiPriority w:val="10"/>
    <w:rPr>
      <w:rFonts w:ascii="Calibri Light" w:hAnsi="Calibri Light" w:eastAsia="宋体" w:cs="宋体"/>
      <w:b/>
      <w:bCs/>
      <w:sz w:val="32"/>
      <w:szCs w:val="32"/>
    </w:rPr>
  </w:style>
  <w:style w:type="character" w:customStyle="1" w:styleId="32">
    <w:name w:val="文档结构图 字符"/>
    <w:link w:val="5"/>
    <w:qFormat/>
    <w:uiPriority w:val="0"/>
    <w:rPr>
      <w:kern w:val="2"/>
      <w:sz w:val="21"/>
      <w:shd w:val="clear" w:color="auto" w:fill="000080"/>
    </w:rPr>
  </w:style>
  <w:style w:type="paragraph" w:styleId="33">
    <w:name w:val="List Paragraph"/>
    <w:basedOn w:val="1"/>
    <w:qFormat/>
    <w:uiPriority w:val="34"/>
    <w:pPr>
      <w:widowControl w:val="0"/>
      <w:spacing w:line="360" w:lineRule="auto"/>
      <w:ind w:firstLine="420" w:firstLineChars="200"/>
      <w:jc w:val="both"/>
    </w:pPr>
    <w:rPr>
      <w:rFonts w:ascii="Calibri" w:hAnsi="Calibri" w:cs="Calibri"/>
      <w:color w:val="000000"/>
      <w:kern w:val="2"/>
      <w:szCs w:val="21"/>
    </w:rPr>
  </w:style>
  <w:style w:type="character" w:customStyle="1" w:styleId="34">
    <w:name w:val="明显强调1"/>
    <w:qFormat/>
    <w:uiPriority w:val="21"/>
    <w:rPr>
      <w:i/>
      <w:iCs/>
      <w:color w:val="5B9BD5"/>
    </w:rPr>
  </w:style>
  <w:style w:type="paragraph" w:customStyle="1" w:styleId="35">
    <w:name w:val="图表名称"/>
    <w:basedOn w:val="1"/>
    <w:link w:val="36"/>
    <w:qFormat/>
    <w:uiPriority w:val="0"/>
    <w:pPr>
      <w:widowControl w:val="0"/>
      <w:adjustRightInd w:val="0"/>
      <w:snapToGrid w:val="0"/>
      <w:spacing w:before="50" w:beforeLines="50" w:after="50" w:afterLines="50" w:line="500" w:lineRule="exact"/>
      <w:jc w:val="center"/>
    </w:pPr>
    <w:rPr>
      <w:rFonts w:ascii="Times New Roman" w:hAnsi="Times New Roman" w:eastAsia="华文楷体"/>
      <w:b/>
      <w:kern w:val="2"/>
      <w:sz w:val="21"/>
      <w:szCs w:val="22"/>
    </w:rPr>
  </w:style>
  <w:style w:type="character" w:customStyle="1" w:styleId="36">
    <w:name w:val="图表名称 Char"/>
    <w:link w:val="35"/>
    <w:uiPriority w:val="0"/>
    <w:rPr>
      <w:rFonts w:eastAsia="华文楷体" w:cs="宋体"/>
      <w:b/>
      <w:kern w:val="2"/>
      <w:sz w:val="21"/>
      <w:szCs w:val="22"/>
    </w:rPr>
  </w:style>
  <w:style w:type="paragraph" w:customStyle="1" w:styleId="37">
    <w:name w:val="三级标题"/>
    <w:basedOn w:val="1"/>
    <w:link w:val="38"/>
    <w:qFormat/>
    <w:uiPriority w:val="0"/>
    <w:pPr>
      <w:spacing w:before="50" w:beforeLines="50" w:after="50" w:afterLines="50" w:line="360" w:lineRule="auto"/>
      <w:jc w:val="both"/>
    </w:pPr>
    <w:rPr>
      <w:rFonts w:ascii="Times New Roman" w:hAnsi="Times New Roman" w:eastAsia="黑体" w:cs="黑体"/>
      <w:b/>
      <w:color w:val="000000"/>
      <w:kern w:val="2"/>
      <w:sz w:val="32"/>
      <w:szCs w:val="22"/>
    </w:rPr>
  </w:style>
  <w:style w:type="character" w:customStyle="1" w:styleId="38">
    <w:name w:val="三级标题 Char"/>
    <w:link w:val="37"/>
    <w:uiPriority w:val="0"/>
    <w:rPr>
      <w:rFonts w:eastAsia="黑体" w:cs="黑体"/>
      <w:b/>
      <w:color w:val="000000"/>
      <w:kern w:val="2"/>
      <w:sz w:val="32"/>
      <w:szCs w:val="22"/>
    </w:rPr>
  </w:style>
  <w:style w:type="character" w:customStyle="1" w:styleId="39">
    <w:name w:val="批注文字 字符"/>
    <w:link w:val="6"/>
    <w:qFormat/>
    <w:uiPriority w:val="99"/>
    <w:rPr>
      <w:rFonts w:ascii="Calibri" w:hAnsi="Calibri" w:eastAsia="宋体" w:cs="宋体"/>
      <w:kern w:val="2"/>
      <w:sz w:val="21"/>
      <w:szCs w:val="22"/>
    </w:rPr>
  </w:style>
  <w:style w:type="paragraph" w:customStyle="1" w:styleId="40">
    <w:name w:val="表"/>
    <w:basedOn w:val="1"/>
    <w:qFormat/>
    <w:uiPriority w:val="0"/>
    <w:pPr>
      <w:widowControl w:val="0"/>
      <w:spacing w:line="0" w:lineRule="atLeast"/>
      <w:jc w:val="both"/>
    </w:pPr>
    <w:rPr>
      <w:rFonts w:ascii="Calibri" w:hAnsi="Calibri" w:eastAsia="华文细黑" w:cs="华文细黑"/>
      <w:kern w:val="10"/>
      <w:sz w:val="18"/>
      <w:szCs w:val="21"/>
    </w:rPr>
  </w:style>
  <w:style w:type="paragraph" w:customStyle="1" w:styleId="41">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character" w:customStyle="1" w:styleId="42">
    <w:name w:val="华文黑"/>
    <w:qFormat/>
    <w:uiPriority w:val="0"/>
    <w:rPr>
      <w:rFonts w:ascii="等线" w:hAnsi="等线" w:eastAsia="华文细黑" w:cs="等线"/>
      <w:sz w:val="21"/>
      <w:szCs w:val="21"/>
    </w:rPr>
  </w:style>
  <w:style w:type="paragraph" w:customStyle="1" w:styleId="43">
    <w:name w:val="华标2"/>
    <w:basedOn w:val="3"/>
    <w:next w:val="1"/>
    <w:link w:val="44"/>
    <w:qFormat/>
    <w:uiPriority w:val="0"/>
    <w:pPr>
      <w:keepLines/>
      <w:adjustRightInd w:val="0"/>
      <w:snapToGrid w:val="0"/>
      <w:spacing w:before="120" w:after="120" w:line="288" w:lineRule="auto"/>
      <w:jc w:val="left"/>
    </w:pPr>
    <w:rPr>
      <w:rFonts w:ascii="等线" w:hAnsi="等线" w:eastAsia="黑体" w:cs="黑体"/>
      <w:bCs/>
      <w:color w:val="2F5496"/>
      <w:sz w:val="24"/>
      <w:szCs w:val="28"/>
    </w:rPr>
  </w:style>
  <w:style w:type="character" w:customStyle="1" w:styleId="44">
    <w:name w:val="华标2 Char"/>
    <w:link w:val="43"/>
    <w:qFormat/>
    <w:uiPriority w:val="0"/>
    <w:rPr>
      <w:rFonts w:ascii="等线" w:hAnsi="等线" w:eastAsia="黑体" w:cs="黑体"/>
      <w:b/>
      <w:bCs/>
      <w:color w:val="2F5496"/>
      <w:kern w:val="2"/>
      <w:sz w:val="24"/>
      <w:szCs w:val="28"/>
    </w:rPr>
  </w:style>
  <w:style w:type="character" w:customStyle="1" w:styleId="45">
    <w:name w:val="纯文本 字符"/>
    <w:link w:val="8"/>
    <w:uiPriority w:val="0"/>
    <w:rPr>
      <w:rFonts w:ascii="宋体" w:hAnsi="Courier New"/>
      <w:kern w:val="2"/>
      <w:sz w:val="21"/>
    </w:rPr>
  </w:style>
  <w:style w:type="character" w:customStyle="1" w:styleId="46">
    <w:name w:val="ng-binding"/>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DCFA-3A6B-4FFD-9105-2035E4816C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2978</Words>
  <Characters>16977</Characters>
  <Lines>141</Lines>
  <Paragraphs>39</Paragraphs>
  <TotalTime>22</TotalTime>
  <ScaleCrop>false</ScaleCrop>
  <LinksUpToDate>false</LinksUpToDate>
  <CharactersWithSpaces>19916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2021-07-18T12:17:00Z</dcterms:created>
  <dc:creator>DELL</dc:creator>
  <cp:lastModifiedBy>Y</cp:lastModifiedBy>
  <cp:lastPrinted>2021-07-21T14:31:00Z</cp:lastPrinted>
  <dcterms:modified xsi:type="dcterms:W3CDTF">2021-10-26T07:23:38Z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AFF8B01C8F484D89BF8571F7D39F7506</vt:lpwstr>
  </property>
</Properties>
</file>