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Cs w:val="21"/>
        </w:rPr>
      </w:pPr>
      <w:r>
        <w:rPr>
          <w:rFonts w:hint="eastAsia" w:asciiTheme="minorEastAsia" w:hAnsiTheme="minorEastAsia"/>
          <w:b/>
          <w:sz w:val="32"/>
          <w:szCs w:val="32"/>
        </w:rPr>
        <w:t>环境科学与工程</w:t>
      </w:r>
      <w:r>
        <w:rPr>
          <w:rFonts w:ascii="Times New Roman" w:hAnsi="Times New Roman" w:cs="Times New Roman"/>
          <w:b/>
          <w:sz w:val="32"/>
          <w:szCs w:val="32"/>
        </w:rPr>
        <w:t>一级学科硕士研究生培养方</w:t>
      </w:r>
      <w:bookmarkStart w:id="2" w:name="_GoBack"/>
      <w:bookmarkEnd w:id="2"/>
      <w:r>
        <w:rPr>
          <w:rFonts w:ascii="Times New Roman" w:hAnsi="Times New Roman" w:cs="Times New Roman"/>
          <w:b/>
          <w:sz w:val="32"/>
          <w:szCs w:val="32"/>
        </w:rPr>
        <w:t>案（0830）</w:t>
      </w:r>
    </w:p>
    <w:p>
      <w:pPr>
        <w:spacing w:line="360" w:lineRule="auto"/>
        <w:jc w:val="center"/>
        <w:rPr>
          <w:rFonts w:ascii="Times New Roman" w:hAnsi="Times New Roman" w:cs="Times New Roman"/>
          <w:sz w:val="28"/>
          <w:szCs w:val="28"/>
        </w:rPr>
      </w:pPr>
      <w:r>
        <w:rPr>
          <w:rFonts w:ascii="Times New Roman" w:hAnsi="Times New Roman" w:cs="Times New Roman"/>
          <w:sz w:val="28"/>
          <w:szCs w:val="28"/>
        </w:rPr>
        <w:t>生态与环境科学学院  河口海岸研究院</w:t>
      </w:r>
    </w:p>
    <w:p>
      <w:pPr>
        <w:rPr>
          <w:rFonts w:ascii="Times New Roman" w:hAnsi="Times New Roman" w:eastAsia="黑体" w:cs="Times New Roman"/>
          <w:sz w:val="24"/>
          <w:szCs w:val="24"/>
        </w:rPr>
      </w:pPr>
    </w:p>
    <w:p>
      <w:pPr>
        <w:spacing w:before="156" w:beforeLines="50" w:after="156" w:afterLines="50"/>
        <w:ind w:left="482"/>
        <w:rPr>
          <w:rFonts w:ascii="Times New Roman" w:hAnsi="Times New Roman" w:eastAsia="黑体" w:cs="Times New Roman"/>
          <w:sz w:val="24"/>
          <w:szCs w:val="24"/>
        </w:rPr>
      </w:pPr>
      <w:r>
        <w:rPr>
          <w:rFonts w:hint="eastAsia" w:ascii="Times New Roman" w:hAnsi="Times New Roman" w:eastAsia="黑体" w:cs="Times New Roman"/>
          <w:sz w:val="24"/>
          <w:szCs w:val="24"/>
        </w:rPr>
        <w:t>一、指导思想</w:t>
      </w:r>
    </w:p>
    <w:p>
      <w:pPr>
        <w:ind w:firstLine="420" w:firstLineChars="200"/>
        <w:rPr>
          <w:rFonts w:cs="等线" w:asciiTheme="minorEastAsia" w:hAnsiTheme="minorEastAsia"/>
          <w:szCs w:val="21"/>
        </w:rPr>
      </w:pPr>
      <w:r>
        <w:rPr>
          <w:rStyle w:val="41"/>
          <w:rFonts w:asciiTheme="minorEastAsia" w:hAnsiTheme="minorEastAsia" w:eastAsiaTheme="minorEastAsia"/>
        </w:rPr>
        <w:t>以习近平新时代中国特色社会主义思想和党的十九大精神为指导，全面贯彻党的教育方针，以立德树人作为研究生培养的根本任务，深化研究生教育内涵发展，</w:t>
      </w:r>
      <w:r>
        <w:rPr>
          <w:rStyle w:val="41"/>
          <w:rFonts w:hint="eastAsia" w:asciiTheme="minorEastAsia" w:hAnsiTheme="minorEastAsia" w:eastAsiaTheme="minorEastAsia"/>
        </w:rPr>
        <w:t>充分</w:t>
      </w:r>
      <w:r>
        <w:rPr>
          <w:rStyle w:val="41"/>
          <w:rFonts w:asciiTheme="minorEastAsia" w:hAnsiTheme="minorEastAsia" w:eastAsiaTheme="minorEastAsia"/>
        </w:rPr>
        <w:t>激发研究生卓越</w:t>
      </w:r>
      <w:r>
        <w:rPr>
          <w:rStyle w:val="41"/>
          <w:rFonts w:hint="eastAsia" w:asciiTheme="minorEastAsia" w:hAnsiTheme="minorEastAsia" w:eastAsiaTheme="minorEastAsia"/>
        </w:rPr>
        <w:t>人才</w:t>
      </w:r>
      <w:r>
        <w:rPr>
          <w:rStyle w:val="41"/>
          <w:rFonts w:asciiTheme="minorEastAsia" w:hAnsiTheme="minorEastAsia" w:eastAsiaTheme="minorEastAsia"/>
        </w:rPr>
        <w:t>创新创造的积极性</w:t>
      </w:r>
      <w:r>
        <w:rPr>
          <w:rStyle w:val="41"/>
          <w:rFonts w:hint="eastAsia" w:asciiTheme="minorEastAsia" w:hAnsiTheme="minorEastAsia" w:eastAsiaTheme="minorEastAsia"/>
        </w:rPr>
        <w:t>和</w:t>
      </w:r>
      <w:r>
        <w:rPr>
          <w:rStyle w:val="41"/>
          <w:rFonts w:asciiTheme="minorEastAsia" w:hAnsiTheme="minorEastAsia" w:eastAsiaTheme="minorEastAsia"/>
        </w:rPr>
        <w:t>活力，培养造就国家急需的德才兼备的高层次拔尖创新人才</w:t>
      </w:r>
      <w:r>
        <w:rPr>
          <w:rStyle w:val="41"/>
          <w:rFonts w:hint="eastAsia" w:asciiTheme="minorEastAsia" w:hAnsiTheme="minorEastAsia" w:eastAsiaTheme="minorEastAsia"/>
        </w:rPr>
        <w:t>。</w:t>
      </w:r>
    </w:p>
    <w:p>
      <w:pPr>
        <w:spacing w:before="156" w:beforeLines="50" w:after="156" w:afterLines="50"/>
        <w:ind w:firstLine="480" w:firstLineChars="200"/>
        <w:rPr>
          <w:rFonts w:ascii="Times New Roman" w:hAnsi="Times New Roman" w:cs="Times New Roman"/>
          <w:szCs w:val="21"/>
        </w:rPr>
      </w:pPr>
      <w:r>
        <w:rPr>
          <w:rFonts w:hint="eastAsia" w:ascii="Times New Roman" w:hAnsi="Times New Roman" w:eastAsia="黑体" w:cs="Times New Roman"/>
          <w:sz w:val="24"/>
          <w:szCs w:val="24"/>
        </w:rPr>
        <w:t>二、培养目标</w:t>
      </w:r>
      <w:r>
        <w:rPr>
          <w:rFonts w:ascii="Times New Roman" w:hAnsi="Times New Roman" w:cs="Times New Roman"/>
          <w:szCs w:val="21"/>
        </w:rPr>
        <w:t xml:space="preserve">  </w:t>
      </w:r>
    </w:p>
    <w:p>
      <w:pPr>
        <w:spacing w:before="156" w:beforeLines="50" w:after="156" w:afterLines="50"/>
        <w:ind w:firstLine="420" w:firstLineChars="200"/>
        <w:rPr>
          <w:rFonts w:ascii="黑体" w:hAnsi="黑体" w:eastAsia="黑体" w:cs="Times New Roman"/>
          <w:szCs w:val="21"/>
        </w:rPr>
      </w:pPr>
      <w:r>
        <w:rPr>
          <w:rFonts w:ascii="黑体" w:hAnsi="黑体" w:eastAsia="黑体" w:cs="Times New Roman"/>
          <w:szCs w:val="21"/>
        </w:rPr>
        <w:t>1.</w:t>
      </w:r>
      <w:r>
        <w:rPr>
          <w:rFonts w:hint="eastAsia" w:ascii="黑体" w:hAnsi="黑体" w:eastAsia="黑体" w:cs="Times New Roman"/>
          <w:szCs w:val="21"/>
        </w:rPr>
        <w:t>人才的基本定位</w:t>
      </w:r>
      <w:r>
        <w:rPr>
          <w:rFonts w:ascii="黑体" w:hAnsi="黑体" w:eastAsia="黑体" w:cs="Times New Roman"/>
          <w:szCs w:val="21"/>
        </w:rPr>
        <w:t xml:space="preserve">  </w:t>
      </w:r>
    </w:p>
    <w:p>
      <w:pPr>
        <w:ind w:firstLine="420" w:firstLineChars="200"/>
        <w:rPr>
          <w:rFonts w:cs="Times New Roman" w:asciiTheme="minorEastAsia" w:hAnsiTheme="minorEastAsia"/>
          <w:szCs w:val="21"/>
        </w:rPr>
      </w:pPr>
      <w:r>
        <w:rPr>
          <w:rStyle w:val="41"/>
          <w:rFonts w:hint="eastAsia" w:cs="Times New Roman" w:asciiTheme="minorEastAsia" w:hAnsiTheme="minorEastAsia" w:eastAsiaTheme="minorEastAsia"/>
        </w:rPr>
        <w:t>德智体美全面发展，热爱环境事业，掌握本学科坚实宽广的环境学理论基础和系统深入的专门知识，具备良好的批判思维、创新能力和实践能力，能够独立从事环境领域的科学研究、教学、环境管理工作，具有良好国际视野的高层次拔尖创新人才。</w:t>
      </w:r>
    </w:p>
    <w:p>
      <w:pPr>
        <w:spacing w:before="156" w:beforeLines="50" w:after="156" w:afterLines="50"/>
        <w:ind w:firstLine="420" w:firstLineChars="200"/>
        <w:rPr>
          <w:rFonts w:ascii="黑体" w:hAnsi="黑体" w:eastAsia="黑体" w:cs="Times New Roman"/>
        </w:rPr>
      </w:pPr>
      <w:r>
        <w:rPr>
          <w:rFonts w:ascii="黑体" w:hAnsi="黑体" w:eastAsia="黑体" w:cs="Times New Roman"/>
          <w:szCs w:val="21"/>
        </w:rPr>
        <w:t>2.</w:t>
      </w:r>
      <w:r>
        <w:rPr>
          <w:rFonts w:hint="eastAsia" w:ascii="黑体" w:hAnsi="黑体" w:eastAsia="黑体" w:cs="Times New Roman"/>
          <w:szCs w:val="21"/>
        </w:rPr>
        <w:t>对毕业生综合素质的要求</w:t>
      </w:r>
    </w:p>
    <w:p>
      <w:pPr>
        <w:ind w:firstLine="420" w:firstLineChars="200"/>
        <w:rPr>
          <w:rStyle w:val="41"/>
          <w:rFonts w:ascii="Times New Roman" w:hAnsi="Times New Roman" w:cs="Times New Roman" w:eastAsiaTheme="minorEastAsia"/>
        </w:rPr>
      </w:pPr>
      <w:r>
        <w:rPr>
          <w:rStyle w:val="41"/>
          <w:rFonts w:hint="eastAsia" w:ascii="Times New Roman" w:hAnsi="Times New Roman" w:cs="Times New Roman" w:eastAsiaTheme="minorEastAsia"/>
        </w:rPr>
        <w:t>（</w:t>
      </w:r>
      <w:r>
        <w:rPr>
          <w:rStyle w:val="41"/>
          <w:rFonts w:ascii="Times New Roman" w:hAnsi="Times New Roman" w:cs="Times New Roman" w:eastAsiaTheme="minorEastAsia"/>
        </w:rPr>
        <w:t>1）掌握马克思主义、毛泽东思想</w:t>
      </w:r>
      <w:r>
        <w:rPr>
          <w:rStyle w:val="41"/>
          <w:rFonts w:hint="eastAsia" w:ascii="Times New Roman" w:hAnsi="Times New Roman" w:cs="Times New Roman" w:eastAsiaTheme="minorEastAsia"/>
        </w:rPr>
        <w:t>、邓小平理论、“三个代表”重要思想、科学发展观和</w:t>
      </w:r>
      <w:r>
        <w:rPr>
          <w:rStyle w:val="41"/>
          <w:rFonts w:ascii="Times New Roman" w:hAnsi="Times New Roman" w:cs="Times New Roman" w:eastAsiaTheme="minorEastAsia"/>
        </w:rPr>
        <w:t>习近平新时代中国特色社会主义思想</w:t>
      </w:r>
      <w:r>
        <w:rPr>
          <w:rStyle w:val="41"/>
          <w:rFonts w:hint="eastAsia" w:ascii="Times New Roman" w:hAnsi="Times New Roman" w:cs="Times New Roman" w:eastAsiaTheme="minorEastAsia"/>
        </w:rPr>
        <w:t>，拥护中国共产党的领导，具有社会主义核心价值观，具备</w:t>
      </w:r>
      <w:r>
        <w:rPr>
          <w:rStyle w:val="41"/>
          <w:rFonts w:ascii="Times New Roman" w:hAnsi="Times New Roman" w:cs="Times New Roman" w:eastAsiaTheme="minorEastAsia"/>
        </w:rPr>
        <w:t>生态文明和绿色发展观，爱国守法，诚信公正，学风严谨，具有家国情怀，具备实事求是的科学态度和优良的职业道德，德才兼备</w:t>
      </w:r>
      <w:r>
        <w:rPr>
          <w:rStyle w:val="41"/>
          <w:rFonts w:hint="eastAsia" w:ascii="Times New Roman" w:hAnsi="Times New Roman" w:cs="Times New Roman" w:eastAsiaTheme="minorEastAsia"/>
        </w:rPr>
        <w:t>。</w:t>
      </w:r>
    </w:p>
    <w:p>
      <w:pPr>
        <w:ind w:firstLine="420" w:firstLineChars="200"/>
        <w:rPr>
          <w:rStyle w:val="41"/>
          <w:rFonts w:ascii="Times New Roman" w:hAnsi="Times New Roman" w:cs="Times New Roman" w:eastAsiaTheme="minorEastAsia"/>
        </w:rPr>
      </w:pPr>
      <w:r>
        <w:rPr>
          <w:rStyle w:val="41"/>
          <w:rFonts w:hint="eastAsia" w:ascii="Times New Roman" w:hAnsi="Times New Roman" w:cs="Times New Roman" w:eastAsiaTheme="minorEastAsia"/>
        </w:rPr>
        <w:t>（</w:t>
      </w:r>
      <w:r>
        <w:rPr>
          <w:rStyle w:val="41"/>
          <w:rFonts w:ascii="Times New Roman" w:hAnsi="Times New Roman" w:cs="Times New Roman" w:eastAsiaTheme="minorEastAsia"/>
        </w:rPr>
        <w:t>2）有较扎实的环境科学、环境工程方面的专业理论知识及解决实际环境问题的技能，具有独立从事科学研究、成果转化及工程设计的能力，</w:t>
      </w:r>
      <w:r>
        <w:rPr>
          <w:rStyle w:val="41"/>
          <w:rFonts w:hint="eastAsia" w:ascii="Times New Roman" w:hAnsi="Times New Roman" w:cs="Times New Roman" w:eastAsiaTheme="minorEastAsia"/>
        </w:rPr>
        <w:t>具备较宽的国际学术视野和较强的国际学术交流能力，</w:t>
      </w:r>
      <w:r>
        <w:rPr>
          <w:rStyle w:val="41"/>
          <w:rFonts w:ascii="Times New Roman" w:hAnsi="Times New Roman" w:cs="Times New Roman" w:eastAsiaTheme="minorEastAsia"/>
        </w:rPr>
        <w:t>毕业后能胜任本学科及相关学科的科研、教学与管理工作。</w:t>
      </w:r>
    </w:p>
    <w:p>
      <w:pPr>
        <w:ind w:firstLine="420" w:firstLineChars="200"/>
        <w:rPr>
          <w:rFonts w:ascii="Times New Roman" w:hAnsi="Times New Roman" w:cs="Times New Roman"/>
          <w:szCs w:val="21"/>
        </w:rPr>
      </w:pPr>
      <w:r>
        <w:rPr>
          <w:rStyle w:val="41"/>
          <w:rFonts w:hint="eastAsia" w:ascii="Times New Roman" w:hAnsi="Times New Roman" w:cs="Times New Roman" w:eastAsiaTheme="minorEastAsia"/>
        </w:rPr>
        <w:t>（</w:t>
      </w:r>
      <w:r>
        <w:rPr>
          <w:rStyle w:val="41"/>
          <w:rFonts w:ascii="Times New Roman" w:hAnsi="Times New Roman" w:cs="Times New Roman" w:eastAsiaTheme="minorEastAsia"/>
        </w:rPr>
        <w:t>3）恪守学术道德、崇尚学术诚信，热爱科学研究，具备</w:t>
      </w:r>
      <w:r>
        <w:rPr>
          <w:rStyle w:val="41"/>
          <w:rFonts w:hint="eastAsia" w:ascii="Times New Roman" w:hAnsi="Times New Roman" w:cs="Times New Roman" w:eastAsiaTheme="minorEastAsia"/>
        </w:rPr>
        <w:t>严谨的科研工作作风、</w:t>
      </w:r>
      <w:r>
        <w:rPr>
          <w:rStyle w:val="41"/>
          <w:rFonts w:ascii="Times New Roman" w:hAnsi="Times New Roman" w:cs="Times New Roman" w:eastAsiaTheme="minorEastAsia"/>
        </w:rPr>
        <w:t>良好的团队协作精神和一定的组织管理才能。</w:t>
      </w:r>
    </w:p>
    <w:p>
      <w:pPr>
        <w:spacing w:before="156" w:beforeLines="50" w:after="156" w:afterLines="50"/>
        <w:ind w:firstLine="420" w:firstLineChars="200"/>
        <w:rPr>
          <w:rFonts w:ascii="黑体" w:hAnsi="黑体" w:eastAsia="黑体" w:cs="Times New Roman"/>
          <w:szCs w:val="21"/>
        </w:rPr>
      </w:pPr>
      <w:r>
        <w:rPr>
          <w:rFonts w:ascii="黑体" w:hAnsi="黑体" w:eastAsia="黑体" w:cs="Times New Roman"/>
          <w:szCs w:val="21"/>
        </w:rPr>
        <w:t>3.</w:t>
      </w:r>
      <w:r>
        <w:rPr>
          <w:rFonts w:hint="eastAsia" w:ascii="黑体" w:hAnsi="黑体" w:eastAsia="黑体" w:cs="Times New Roman"/>
          <w:szCs w:val="21"/>
        </w:rPr>
        <w:t>人才的培养特色</w:t>
      </w:r>
    </w:p>
    <w:p>
      <w:pPr>
        <w:ind w:firstLine="420" w:firstLineChars="200"/>
        <w:rPr>
          <w:rStyle w:val="41"/>
          <w:rFonts w:asciiTheme="minorEastAsia" w:hAnsiTheme="minorEastAsia" w:eastAsiaTheme="minorEastAsia"/>
        </w:rPr>
      </w:pPr>
      <w:r>
        <w:rPr>
          <w:rStyle w:val="41"/>
          <w:rFonts w:hint="eastAsia" w:asciiTheme="minorEastAsia" w:hAnsiTheme="minorEastAsia" w:eastAsiaTheme="minorEastAsia"/>
        </w:rPr>
        <w:t>（</w:t>
      </w:r>
      <w:r>
        <w:rPr>
          <w:rStyle w:val="41"/>
          <w:rFonts w:asciiTheme="minorEastAsia" w:hAnsiTheme="minorEastAsia" w:eastAsiaTheme="minorEastAsia"/>
        </w:rPr>
        <w:t>1）环境科学、环境工程</w:t>
      </w:r>
      <w:r>
        <w:rPr>
          <w:rStyle w:val="41"/>
          <w:rFonts w:hint="eastAsia" w:asciiTheme="minorEastAsia" w:hAnsiTheme="minorEastAsia" w:eastAsiaTheme="minorEastAsia"/>
        </w:rPr>
        <w:t>融合发展，</w:t>
      </w:r>
      <w:r>
        <w:rPr>
          <w:rStyle w:val="41"/>
          <w:rFonts w:asciiTheme="minorEastAsia" w:hAnsiTheme="minorEastAsia" w:eastAsiaTheme="minorEastAsia"/>
        </w:rPr>
        <w:t>理科思维与工科</w:t>
      </w:r>
      <w:r>
        <w:rPr>
          <w:rStyle w:val="41"/>
          <w:rFonts w:hint="eastAsia" w:asciiTheme="minorEastAsia" w:hAnsiTheme="minorEastAsia" w:eastAsiaTheme="minorEastAsia"/>
        </w:rPr>
        <w:t>思维兼具。</w:t>
      </w:r>
    </w:p>
    <w:p>
      <w:pPr>
        <w:ind w:firstLine="420" w:firstLineChars="200"/>
        <w:rPr>
          <w:rFonts w:cs="等线" w:asciiTheme="minorEastAsia" w:hAnsiTheme="minorEastAsia"/>
          <w:szCs w:val="21"/>
        </w:rPr>
      </w:pPr>
      <w:r>
        <w:rPr>
          <w:rStyle w:val="41"/>
          <w:rFonts w:hint="eastAsia" w:asciiTheme="minorEastAsia" w:hAnsiTheme="minorEastAsia" w:eastAsiaTheme="minorEastAsia"/>
        </w:rPr>
        <w:t>（</w:t>
      </w:r>
      <w:r>
        <w:rPr>
          <w:rStyle w:val="41"/>
          <w:rFonts w:asciiTheme="minorEastAsia" w:hAnsiTheme="minorEastAsia" w:eastAsiaTheme="minorEastAsia"/>
        </w:rPr>
        <w:t>2）注重过程性培养，</w:t>
      </w:r>
      <w:r>
        <w:rPr>
          <w:rStyle w:val="41"/>
          <w:rFonts w:hint="eastAsia" w:asciiTheme="minorEastAsia" w:hAnsiTheme="minorEastAsia" w:eastAsiaTheme="minorEastAsia"/>
        </w:rPr>
        <w:t>导师</w:t>
      </w:r>
      <w:r>
        <w:rPr>
          <w:rStyle w:val="41"/>
          <w:rFonts w:asciiTheme="minorEastAsia" w:hAnsiTheme="minorEastAsia" w:eastAsiaTheme="minorEastAsia"/>
        </w:rPr>
        <w:t>指导与指导小组集体培养相结合。</w:t>
      </w:r>
    </w:p>
    <w:p>
      <w:pPr>
        <w:spacing w:before="156" w:beforeLines="50" w:after="156" w:afterLines="50"/>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三、二级学科（专业）</w:t>
      </w:r>
      <w:r>
        <w:rPr>
          <w:rFonts w:ascii="Times New Roman" w:hAnsi="Times New Roman" w:cs="Times New Roman"/>
          <w:szCs w:val="21"/>
        </w:rPr>
        <w:t xml:space="preserve"> </w:t>
      </w:r>
    </w:p>
    <w:p>
      <w:pPr>
        <w:ind w:firstLine="420" w:firstLineChars="200"/>
        <w:rPr>
          <w:rStyle w:val="41"/>
          <w:rFonts w:asciiTheme="minorEastAsia" w:hAnsiTheme="minorEastAsia" w:eastAsiaTheme="minorEastAsia"/>
        </w:rPr>
      </w:pPr>
      <w:r>
        <w:rPr>
          <w:rStyle w:val="41"/>
          <w:rFonts w:asciiTheme="minorEastAsia" w:hAnsiTheme="minorEastAsia" w:eastAsiaTheme="minorEastAsia"/>
        </w:rPr>
        <w:t>1.环境科学（077601）</w:t>
      </w:r>
    </w:p>
    <w:p>
      <w:pPr>
        <w:ind w:firstLine="420" w:firstLineChars="200"/>
        <w:rPr>
          <w:rStyle w:val="41"/>
          <w:rFonts w:asciiTheme="minorEastAsia" w:hAnsiTheme="minorEastAsia" w:eastAsiaTheme="minorEastAsia"/>
        </w:rPr>
      </w:pPr>
      <w:r>
        <w:rPr>
          <w:rStyle w:val="41"/>
          <w:rFonts w:asciiTheme="minorEastAsia" w:hAnsiTheme="minorEastAsia" w:eastAsiaTheme="minorEastAsia"/>
        </w:rPr>
        <w:t>2.环境工程（083002）</w:t>
      </w:r>
    </w:p>
    <w:p>
      <w:pPr>
        <w:spacing w:before="156" w:beforeLines="50" w:after="156" w:afterLines="50"/>
        <w:ind w:firstLine="480" w:firstLineChars="200"/>
        <w:rPr>
          <w:rFonts w:ascii="Times New Roman" w:hAnsi="Times New Roman" w:cs="Times New Roman"/>
          <w:szCs w:val="21"/>
        </w:rPr>
      </w:pPr>
      <w:r>
        <w:rPr>
          <w:rFonts w:ascii="Times New Roman" w:hAnsi="Times New Roman" w:eastAsia="黑体" w:cs="Times New Roman"/>
          <w:sz w:val="24"/>
          <w:szCs w:val="24"/>
        </w:rPr>
        <w:t>四、毕业与学位要求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spacing w:line="260" w:lineRule="exact"/>
              <w:rPr>
                <w:rFonts w:ascii="Times New Roman" w:hAnsi="Times New Roman" w:eastAsia="宋体" w:cs="Times New Roman"/>
                <w:b/>
                <w:szCs w:val="21"/>
              </w:rPr>
            </w:pPr>
            <w:r>
              <w:rPr>
                <w:rFonts w:hint="eastAsia" w:ascii="Times New Roman" w:hAnsi="Times New Roman" w:eastAsia="宋体" w:cs="Times New Roman"/>
                <w:b/>
                <w:szCs w:val="21"/>
              </w:rPr>
              <w:t>毕业与学位授予要求（一级指标）</w:t>
            </w:r>
          </w:p>
        </w:tc>
        <w:tc>
          <w:tcPr>
            <w:tcW w:w="7513" w:type="dxa"/>
          </w:tcPr>
          <w:p>
            <w:pPr>
              <w:spacing w:line="400" w:lineRule="exact"/>
              <w:rPr>
                <w:rFonts w:ascii="Times New Roman" w:hAnsi="Times New Roman" w:eastAsia="宋体" w:cs="Times New Roman"/>
                <w:b/>
                <w:szCs w:val="21"/>
              </w:rPr>
            </w:pPr>
            <w:r>
              <w:rPr>
                <w:rFonts w:hint="eastAsia" w:ascii="Times New Roman" w:hAnsi="Times New Roman" w:eastAsia="宋体" w:cs="Times New Roman"/>
                <w:b/>
                <w:szCs w:val="21"/>
              </w:rPr>
              <w:t>二级指标点（观测点）及其内涵阐述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tcPr>
          <w:p>
            <w:pPr>
              <w:rPr>
                <w:rFonts w:ascii="Times New Roman" w:hAnsi="Times New Roman" w:cs="Times New Roman"/>
                <w:szCs w:val="21"/>
              </w:rPr>
            </w:pPr>
            <w:r>
              <w:rPr>
                <w:rFonts w:ascii="Times New Roman" w:hAnsi="Times New Roman" w:cs="Times New Roman"/>
                <w:szCs w:val="21"/>
              </w:rPr>
              <w:t>1.家国情怀</w:t>
            </w:r>
          </w:p>
        </w:tc>
        <w:tc>
          <w:tcPr>
            <w:tcW w:w="7513" w:type="dxa"/>
          </w:tcPr>
          <w:p>
            <w:pPr>
              <w:rPr>
                <w:rFonts w:ascii="Times New Roman" w:hAnsi="Times New Roman" w:cs="Times New Roman"/>
                <w:szCs w:val="21"/>
              </w:rPr>
            </w:pPr>
            <w:r>
              <w:rPr>
                <w:rFonts w:ascii="Times New Roman" w:hAnsi="Times New Roman" w:cs="Times New Roman"/>
                <w:szCs w:val="21"/>
              </w:rPr>
              <w:t>1.1 国家认同：融汇贯通环境学专业知识</w:t>
            </w:r>
            <w:r>
              <w:rPr>
                <w:rFonts w:ascii="Times New Roman" w:hAnsi="Times New Roman" w:cs="Times New Roman"/>
                <w:szCs w:val="21"/>
                <w:lang w:bidi="zh-CN"/>
              </w:rPr>
              <w:t>，实现全时空演化角度认识“四史”，认同新时代中国特色社会主义的核心价值观，自觉维护国家主权并落实到自身的研究中。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Pr>
          <w:p>
            <w:pPr>
              <w:rPr>
                <w:rFonts w:ascii="Times New Roman" w:hAnsi="Times New Roman" w:cs="Times New Roman"/>
                <w:szCs w:val="21"/>
              </w:rPr>
            </w:pPr>
          </w:p>
        </w:tc>
        <w:tc>
          <w:tcPr>
            <w:tcW w:w="7513" w:type="dxa"/>
          </w:tcPr>
          <w:p>
            <w:pPr>
              <w:rPr>
                <w:rFonts w:ascii="Times New Roman" w:hAnsi="Times New Roman" w:cs="Times New Roman"/>
                <w:szCs w:val="21"/>
              </w:rPr>
            </w:pPr>
            <w:r>
              <w:rPr>
                <w:rFonts w:ascii="Times New Roman" w:hAnsi="Times New Roman" w:cs="Times New Roman"/>
                <w:szCs w:val="21"/>
              </w:rPr>
              <w:t>1.2 理想信念：</w:t>
            </w:r>
            <w:r>
              <w:rPr>
                <w:rFonts w:ascii="Times New Roman" w:hAnsi="Times New Roman" w:cs="Times New Roman"/>
                <w:szCs w:val="21"/>
                <w:lang w:bidi="zh-CN"/>
              </w:rPr>
              <w:t>能从参与重要科学研究的项目中，树立科学报国之志和服务中华民族伟大复兴中国梦的信念。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Pr>
          <w:p>
            <w:pPr>
              <w:rPr>
                <w:rFonts w:ascii="Times New Roman" w:hAnsi="Times New Roman" w:cs="Times New Roman"/>
                <w:szCs w:val="21"/>
              </w:rPr>
            </w:pPr>
          </w:p>
        </w:tc>
        <w:tc>
          <w:tcPr>
            <w:tcW w:w="7513" w:type="dxa"/>
          </w:tcPr>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 xml:space="preserve">.3 </w:t>
            </w:r>
            <w:r>
              <w:rPr>
                <w:rFonts w:hint="eastAsia" w:ascii="Times New Roman" w:hAnsi="Times New Roman" w:cs="Times New Roman"/>
                <w:szCs w:val="21"/>
              </w:rPr>
              <w:t>立德树人:</w:t>
            </w:r>
            <w:r>
              <w:t xml:space="preserve"> 坚持党的领导，全面贯彻党的教育方针，以新时代中国特色社会主义思想为指导，坚持把立德树人作为根本任务。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tcPr>
          <w:p>
            <w:pPr>
              <w:rPr>
                <w:rFonts w:ascii="Times New Roman" w:hAnsi="Times New Roman" w:cs="Times New Roman"/>
                <w:szCs w:val="21"/>
              </w:rPr>
            </w:pPr>
            <w:r>
              <w:rPr>
                <w:rFonts w:ascii="Times New Roman" w:hAnsi="Times New Roman" w:cs="Times New Roman"/>
                <w:szCs w:val="21"/>
              </w:rPr>
              <w:t>2.学科素养</w:t>
            </w:r>
          </w:p>
        </w:tc>
        <w:tc>
          <w:tcPr>
            <w:tcW w:w="7513" w:type="dxa"/>
          </w:tcPr>
          <w:p>
            <w:pPr>
              <w:rPr>
                <w:rFonts w:ascii="Times New Roman" w:hAnsi="Times New Roman" w:cs="Times New Roman"/>
                <w:szCs w:val="21"/>
              </w:rPr>
            </w:pPr>
            <w:r>
              <w:rPr>
                <w:rFonts w:ascii="Times New Roman" w:hAnsi="Times New Roman" w:cs="Times New Roman"/>
                <w:szCs w:val="21"/>
              </w:rPr>
              <w:t xml:space="preserve">2.1 </w:t>
            </w:r>
            <w:r>
              <w:rPr>
                <w:rFonts w:ascii="Times New Roman" w:hAnsi="Times New Roman" w:cs="Times New Roman"/>
                <w:bCs/>
                <w:szCs w:val="21"/>
                <w:lang w:bidi="zh-CN"/>
              </w:rPr>
              <w:t>科学求真</w:t>
            </w:r>
            <w:r>
              <w:rPr>
                <w:rFonts w:ascii="Times New Roman" w:hAnsi="Times New Roman" w:cs="Times New Roman"/>
                <w:b/>
                <w:szCs w:val="21"/>
                <w:lang w:bidi="zh-CN"/>
              </w:rPr>
              <w:t>：</w:t>
            </w:r>
            <w:r>
              <w:rPr>
                <w:rFonts w:ascii="Times New Roman" w:hAnsi="Times New Roman" w:cs="Times New Roman"/>
                <w:szCs w:val="21"/>
              </w:rPr>
              <w:t>崇尚科学精神，具有求真务实的品质和严谨的科学态度，勤于钻研，恪守学术规范。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Pr>
          <w:p>
            <w:pPr>
              <w:rPr>
                <w:rFonts w:ascii="Times New Roman" w:hAnsi="Times New Roman" w:cs="Times New Roman"/>
                <w:szCs w:val="21"/>
              </w:rPr>
            </w:pPr>
          </w:p>
        </w:tc>
        <w:tc>
          <w:tcPr>
            <w:tcW w:w="7513" w:type="dxa"/>
          </w:tcPr>
          <w:p>
            <w:pPr>
              <w:rPr>
                <w:rFonts w:ascii="Times New Roman" w:hAnsi="Times New Roman" w:cs="Times New Roman"/>
                <w:szCs w:val="21"/>
              </w:rPr>
            </w:pPr>
            <w:r>
              <w:rPr>
                <w:rFonts w:ascii="Times New Roman" w:hAnsi="Times New Roman" w:cs="Times New Roman"/>
                <w:szCs w:val="21"/>
              </w:rPr>
              <w:t xml:space="preserve">2.2 </w:t>
            </w:r>
            <w:r>
              <w:rPr>
                <w:rFonts w:ascii="Times New Roman" w:hAnsi="Times New Roman" w:cs="Times New Roman"/>
                <w:bCs/>
                <w:szCs w:val="21"/>
                <w:lang w:bidi="zh-CN"/>
              </w:rPr>
              <w:t>理论思辨：具备扎实的专业理论，具有良好的逻辑思维和独立思辨能力</w:t>
            </w:r>
            <w:r>
              <w:rPr>
                <w:rStyle w:val="41"/>
                <w:rFonts w:ascii="Times New Roman" w:hAnsi="Times New Roman" w:cs="Times New Roman" w:eastAsiaTheme="minorEastAsia"/>
                <w:sz w:val="18"/>
                <w:szCs w:val="18"/>
              </w:rPr>
              <w:t>，</w:t>
            </w:r>
            <w:r>
              <w:rPr>
                <w:rFonts w:ascii="Times New Roman" w:hAnsi="Times New Roman" w:cs="Times New Roman"/>
                <w:bCs/>
                <w:szCs w:val="21"/>
                <w:lang w:bidi="zh-CN"/>
              </w:rPr>
              <w:t>具有发现问题、提出问题能力。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Pr>
          <w:p>
            <w:pPr>
              <w:rPr>
                <w:rFonts w:ascii="Times New Roman" w:hAnsi="Times New Roman" w:cs="Times New Roman"/>
                <w:szCs w:val="21"/>
              </w:rPr>
            </w:pPr>
          </w:p>
        </w:tc>
        <w:tc>
          <w:tcPr>
            <w:tcW w:w="7513" w:type="dxa"/>
          </w:tcPr>
          <w:p>
            <w:pPr>
              <w:rPr>
                <w:rFonts w:ascii="Times New Roman" w:hAnsi="Times New Roman" w:cs="Times New Roman"/>
                <w:szCs w:val="21"/>
              </w:rPr>
            </w:pPr>
            <w:r>
              <w:rPr>
                <w:rFonts w:ascii="Times New Roman" w:hAnsi="Times New Roman" w:cs="Times New Roman"/>
                <w:szCs w:val="21"/>
              </w:rPr>
              <w:t>2.3 研究创新：具备批判性思维和创新思维素养，能独立开展科学研究，</w:t>
            </w:r>
            <w:r>
              <w:rPr>
                <w:rStyle w:val="41"/>
                <w:rFonts w:ascii="Times New Roman" w:hAnsi="Times New Roman" w:cs="Times New Roman" w:eastAsiaTheme="minorEastAsia"/>
              </w:rPr>
              <w:t>运用生态学专业知识解决理论探索或应用研究中的科学问题。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tcPr>
          <w:p>
            <w:pPr>
              <w:rPr>
                <w:rFonts w:ascii="Times New Roman" w:hAnsi="Times New Roman" w:cs="Times New Roman"/>
                <w:szCs w:val="21"/>
              </w:rPr>
            </w:pPr>
            <w:r>
              <w:rPr>
                <w:rFonts w:ascii="Times New Roman" w:hAnsi="Times New Roman" w:cs="Times New Roman"/>
                <w:szCs w:val="21"/>
              </w:rPr>
              <w:t>3.团队协作</w:t>
            </w:r>
          </w:p>
        </w:tc>
        <w:tc>
          <w:tcPr>
            <w:tcW w:w="7513" w:type="dxa"/>
          </w:tcPr>
          <w:p>
            <w:pPr>
              <w:rPr>
                <w:rFonts w:ascii="Times New Roman" w:hAnsi="Times New Roman" w:cs="Times New Roman"/>
                <w:szCs w:val="21"/>
              </w:rPr>
            </w:pPr>
            <w:r>
              <w:rPr>
                <w:rFonts w:ascii="Times New Roman" w:hAnsi="Times New Roman" w:cs="Times New Roman"/>
                <w:bCs/>
                <w:szCs w:val="21"/>
                <w:lang w:bidi="zh-CN"/>
              </w:rPr>
              <w:t>3.1领导能力：</w:t>
            </w:r>
            <w:r>
              <w:rPr>
                <w:rFonts w:ascii="Times New Roman" w:hAnsi="Times New Roman" w:cs="Times New Roman"/>
                <w:szCs w:val="21"/>
                <w:lang w:bidi="zh-CN"/>
              </w:rPr>
              <w:t>具备组织团队协同合作的能力，具备良好的统筹、协调能力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Pr>
          <w:p>
            <w:pPr>
              <w:rPr>
                <w:rFonts w:ascii="Times New Roman" w:hAnsi="Times New Roman" w:cs="Times New Roman"/>
                <w:szCs w:val="21"/>
              </w:rPr>
            </w:pPr>
          </w:p>
        </w:tc>
        <w:tc>
          <w:tcPr>
            <w:tcW w:w="7513" w:type="dxa"/>
          </w:tcPr>
          <w:p>
            <w:pPr>
              <w:rPr>
                <w:rFonts w:ascii="Times New Roman" w:hAnsi="Times New Roman" w:cs="Times New Roman"/>
                <w:szCs w:val="21"/>
              </w:rPr>
            </w:pPr>
            <w:r>
              <w:rPr>
                <w:rFonts w:ascii="Times New Roman" w:hAnsi="Times New Roman" w:cs="Times New Roman"/>
                <w:bCs/>
                <w:szCs w:val="21"/>
                <w:lang w:bidi="zh-CN"/>
              </w:rPr>
              <w:t>3.2奉献精神：</w:t>
            </w:r>
            <w:r>
              <w:rPr>
                <w:rFonts w:ascii="Times New Roman" w:hAnsi="Times New Roman" w:cs="Times New Roman"/>
                <w:szCs w:val="21"/>
                <w:lang w:bidi="zh-CN"/>
              </w:rPr>
              <w:t>具备为了团队整体目标实现敢于牺牲自身利益，勇挑重担的奉献精神。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tcPr>
          <w:p>
            <w:pPr>
              <w:rPr>
                <w:rFonts w:ascii="Times New Roman" w:hAnsi="Times New Roman" w:cs="Times New Roman"/>
                <w:szCs w:val="21"/>
              </w:rPr>
            </w:pPr>
            <w:r>
              <w:rPr>
                <w:rFonts w:ascii="Times New Roman" w:hAnsi="Times New Roman" w:cs="Times New Roman"/>
                <w:szCs w:val="21"/>
              </w:rPr>
              <w:t>4.国际视野</w:t>
            </w:r>
          </w:p>
        </w:tc>
        <w:tc>
          <w:tcPr>
            <w:tcW w:w="7513" w:type="dxa"/>
          </w:tcPr>
          <w:p>
            <w:pPr>
              <w:rPr>
                <w:rFonts w:ascii="Times New Roman" w:hAnsi="Times New Roman" w:cs="Times New Roman"/>
                <w:bCs/>
                <w:szCs w:val="21"/>
                <w:lang w:bidi="zh-CN"/>
              </w:rPr>
            </w:pPr>
            <w:r>
              <w:rPr>
                <w:rFonts w:ascii="Times New Roman" w:hAnsi="Times New Roman" w:cs="Times New Roman"/>
                <w:bCs/>
                <w:szCs w:val="21"/>
                <w:lang w:bidi="zh-CN"/>
              </w:rPr>
              <w:t>4.1国际视野：能在全球视野下认识我国自然与社会生态环境问题的复杂性和独特性。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Pr>
          <w:p>
            <w:pPr>
              <w:rPr>
                <w:rFonts w:ascii="Times New Roman" w:hAnsi="Times New Roman" w:cs="Times New Roman"/>
                <w:szCs w:val="21"/>
              </w:rPr>
            </w:pPr>
          </w:p>
        </w:tc>
        <w:tc>
          <w:tcPr>
            <w:tcW w:w="7513" w:type="dxa"/>
          </w:tcPr>
          <w:p>
            <w:pPr>
              <w:rPr>
                <w:rFonts w:ascii="Times New Roman" w:hAnsi="Times New Roman" w:cs="Times New Roman"/>
              </w:rPr>
            </w:pPr>
            <w:r>
              <w:rPr>
                <w:rFonts w:ascii="Times New Roman" w:hAnsi="Times New Roman" w:cs="Times New Roman"/>
                <w:bCs/>
                <w:szCs w:val="21"/>
                <w:lang w:bidi="zh-CN"/>
              </w:rPr>
              <w:t>4.2交流能力：了解国际学术前沿，主动参与国内外学术会议，与学术同行顺畅交流。</w:t>
            </w:r>
          </w:p>
        </w:tc>
      </w:tr>
    </w:tbl>
    <w:p>
      <w:pPr>
        <w:spacing w:line="400" w:lineRule="exact"/>
        <w:rPr>
          <w:rFonts w:ascii="Times New Roman" w:hAnsi="Times New Roman" w:eastAsia="宋体" w:cs="Times New Roman"/>
          <w:szCs w:val="21"/>
        </w:rPr>
      </w:pPr>
    </w:p>
    <w:p>
      <w:pPr>
        <w:ind w:firstLine="480" w:firstLineChars="200"/>
        <w:rPr>
          <w:rFonts w:ascii="Times New Roman" w:hAnsi="Times New Roman" w:cs="Times New Roman"/>
          <w:szCs w:val="21"/>
        </w:rPr>
      </w:pPr>
      <w:r>
        <w:rPr>
          <w:rFonts w:ascii="Times New Roman" w:hAnsi="Times New Roman" w:eastAsia="黑体" w:cs="Times New Roman"/>
          <w:sz w:val="24"/>
          <w:szCs w:val="24"/>
        </w:rPr>
        <w:t>五、学习年限与培养方式</w:t>
      </w:r>
    </w:p>
    <w:p>
      <w:pPr>
        <w:spacing w:before="156" w:beforeLines="50" w:after="156" w:afterLines="50"/>
        <w:ind w:firstLine="420" w:firstLineChars="200"/>
        <w:rPr>
          <w:rFonts w:ascii="Times New Roman" w:hAnsi="Times New Roman" w:cs="Times New Roman"/>
          <w:b/>
          <w:szCs w:val="21"/>
        </w:rPr>
      </w:pPr>
      <w:r>
        <w:rPr>
          <w:rFonts w:ascii="Times New Roman" w:hAnsi="Times New Roman" w:eastAsia="黑体" w:cs="Times New Roman"/>
          <w:szCs w:val="21"/>
        </w:rPr>
        <w:t>1.学习年限</w:t>
      </w:r>
    </w:p>
    <w:p>
      <w:pPr>
        <w:ind w:firstLine="420" w:firstLineChars="200"/>
        <w:rPr>
          <w:rFonts w:ascii="Times New Roman" w:hAnsi="Times New Roman" w:cs="Times New Roman"/>
          <w:szCs w:val="21"/>
        </w:rPr>
      </w:pPr>
      <w:r>
        <w:rPr>
          <w:rFonts w:ascii="Times New Roman" w:hAnsi="Times New Roman" w:cs="Times New Roman"/>
          <w:szCs w:val="21"/>
        </w:rPr>
        <w:t>硕士研究生基本学习年限为3年，最长学习年限为5年。</w:t>
      </w:r>
    </w:p>
    <w:p>
      <w:pPr>
        <w:spacing w:before="156" w:beforeLines="50" w:after="156" w:afterLines="50"/>
        <w:ind w:firstLine="420" w:firstLineChars="200"/>
        <w:rPr>
          <w:rFonts w:ascii="Times New Roman" w:hAnsi="Times New Roman" w:eastAsia="黑体" w:cs="Times New Roman"/>
          <w:szCs w:val="21"/>
        </w:rPr>
      </w:pPr>
      <w:r>
        <w:rPr>
          <w:rFonts w:ascii="Times New Roman" w:hAnsi="Times New Roman" w:eastAsia="黑体" w:cs="Times New Roman"/>
          <w:szCs w:val="21"/>
        </w:rPr>
        <w:t>2.培养方式</w:t>
      </w:r>
    </w:p>
    <w:p>
      <w:pPr>
        <w:ind w:firstLine="420"/>
        <w:rPr>
          <w:rStyle w:val="41"/>
          <w:rFonts w:cs="Times New Roman" w:asciiTheme="minorEastAsia" w:hAnsiTheme="minorEastAsia" w:eastAsiaTheme="minorEastAsia"/>
        </w:rPr>
      </w:pPr>
      <w:r>
        <w:rPr>
          <w:rStyle w:val="41"/>
          <w:rFonts w:cs="Times New Roman" w:asciiTheme="minorEastAsia" w:hAnsiTheme="minorEastAsia" w:eastAsiaTheme="minorEastAsia"/>
        </w:rPr>
        <w:t>导师指导和指导小组集体培养相结合，采用课堂教授、案例教学、实验教学、讲座、讨论和实践（参与科研）相结合的培养方式。鼓励、支持和推动跨学科、跨专业的培养方式，在需要和可能的前提下，也可采取和国内外同行学者或学术单位联合培养的方式。在学习年限内，要求学习者保证规定的在校学习时间。</w:t>
      </w:r>
    </w:p>
    <w:p>
      <w:pPr>
        <w:spacing w:before="156" w:beforeLines="50" w:after="156" w:afterLines="50"/>
        <w:ind w:firstLine="480" w:firstLineChars="200"/>
        <w:rPr>
          <w:rFonts w:ascii="Times New Roman" w:hAnsi="Times New Roman" w:cs="Times New Roman"/>
          <w:szCs w:val="21"/>
        </w:rPr>
      </w:pPr>
      <w:r>
        <w:rPr>
          <w:rFonts w:ascii="Times New Roman" w:hAnsi="Times New Roman" w:eastAsia="黑体" w:cs="Times New Roman"/>
          <w:sz w:val="24"/>
          <w:szCs w:val="24"/>
        </w:rPr>
        <w:t>六、课程体系及学分要求</w:t>
      </w:r>
    </w:p>
    <w:p>
      <w:pPr>
        <w:spacing w:before="156" w:beforeLines="50" w:after="156" w:afterLines="50"/>
        <w:ind w:firstLine="420" w:firstLineChars="200"/>
        <w:rPr>
          <w:rFonts w:ascii="Times New Roman" w:hAnsi="Times New Roman" w:cs="Times New Roman"/>
          <w:b/>
          <w:szCs w:val="21"/>
        </w:rPr>
      </w:pPr>
      <w:r>
        <w:rPr>
          <w:rFonts w:ascii="Times New Roman" w:hAnsi="Times New Roman" w:eastAsia="黑体" w:cs="Times New Roman"/>
          <w:szCs w:val="21"/>
        </w:rPr>
        <w:t>1.学分要求</w:t>
      </w:r>
    </w:p>
    <w:p>
      <w:pPr>
        <w:ind w:firstLine="420" w:firstLineChars="200"/>
        <w:rPr>
          <w:rFonts w:ascii="Times New Roman" w:hAnsi="Times New Roman" w:cs="Times New Roman"/>
          <w:szCs w:val="21"/>
        </w:rPr>
      </w:pPr>
      <w:r>
        <w:rPr>
          <w:rFonts w:ascii="Times New Roman" w:hAnsi="Times New Roman" w:cs="Times New Roman"/>
          <w:szCs w:val="21"/>
        </w:rPr>
        <w:t>（1）硕士研究生修读总学分：_23_。各类别学分要求如下：</w:t>
      </w:r>
    </w:p>
    <w:p>
      <w:pPr>
        <w:ind w:firstLine="420" w:firstLineChars="200"/>
        <w:rPr>
          <w:rFonts w:ascii="Times New Roman" w:hAnsi="Times New Roman" w:cs="Times New Roman"/>
          <w:szCs w:val="21"/>
        </w:rPr>
      </w:pPr>
      <w:r>
        <w:rPr>
          <w:rFonts w:ascii="Times New Roman" w:hAnsi="Times New Roman" w:cs="Times New Roman"/>
          <w:szCs w:val="21"/>
        </w:rPr>
        <w:t>学位公共课（必修）6学分，学位公共课（选修）_2_学分，学位基础课</w:t>
      </w:r>
      <w:r>
        <w:rPr>
          <w:rStyle w:val="41"/>
          <w:rFonts w:ascii="Times New Roman" w:hAnsi="Times New Roman" w:cs="Times New Roman" w:eastAsiaTheme="minorEastAsia"/>
        </w:rPr>
        <w:t>≥</w:t>
      </w:r>
      <w:r>
        <w:rPr>
          <w:rStyle w:val="41"/>
          <w:rFonts w:ascii="Times New Roman" w:hAnsi="Times New Roman" w:cs="Times New Roman" w:eastAsiaTheme="minorEastAsia"/>
          <w:u w:val="single"/>
        </w:rPr>
        <w:t xml:space="preserve"> 4</w:t>
      </w:r>
      <w:r>
        <w:rPr>
          <w:rFonts w:ascii="Times New Roman" w:hAnsi="Times New Roman" w:cs="Times New Roman"/>
          <w:szCs w:val="21"/>
        </w:rPr>
        <w:t>学分，学位专业课（必修）</w:t>
      </w:r>
      <w:r>
        <w:rPr>
          <w:rStyle w:val="41"/>
          <w:rFonts w:ascii="Times New Roman" w:hAnsi="Times New Roman" w:cs="Times New Roman" w:eastAsiaTheme="minorEastAsia"/>
        </w:rPr>
        <w:t>≥</w:t>
      </w:r>
      <w:r>
        <w:rPr>
          <w:rStyle w:val="41"/>
          <w:rFonts w:ascii="Times New Roman" w:hAnsi="Times New Roman" w:cs="Times New Roman" w:eastAsiaTheme="minorEastAsia"/>
          <w:u w:val="single"/>
        </w:rPr>
        <w:t xml:space="preserve"> 5</w:t>
      </w:r>
      <w:r>
        <w:rPr>
          <w:rFonts w:ascii="Times New Roman" w:hAnsi="Times New Roman" w:cs="Times New Roman"/>
          <w:szCs w:val="21"/>
        </w:rPr>
        <w:t>学分，学位专业课（选修）</w:t>
      </w:r>
      <w:r>
        <w:rPr>
          <w:rStyle w:val="41"/>
          <w:rFonts w:ascii="Times New Roman" w:hAnsi="Times New Roman" w:cs="Times New Roman" w:eastAsiaTheme="minorEastAsia"/>
        </w:rPr>
        <w:t>≥</w:t>
      </w:r>
      <w:r>
        <w:rPr>
          <w:rStyle w:val="41"/>
          <w:rFonts w:ascii="Times New Roman" w:hAnsi="Times New Roman" w:cs="Times New Roman" w:eastAsiaTheme="minorEastAsia"/>
          <w:u w:val="single"/>
        </w:rPr>
        <w:t xml:space="preserve"> 4</w:t>
      </w:r>
      <w:r>
        <w:rPr>
          <w:rFonts w:ascii="Times New Roman" w:hAnsi="Times New Roman" w:cs="Times New Roman"/>
          <w:szCs w:val="21"/>
        </w:rPr>
        <w:t xml:space="preserve">学分，跨一级学科课程__2__学分。   </w:t>
      </w:r>
    </w:p>
    <w:p>
      <w:pPr>
        <w:ind w:firstLine="420" w:firstLineChars="200"/>
        <w:rPr>
          <w:rFonts w:ascii="Times New Roman" w:hAnsi="Times New Roman" w:cs="Times New Roman"/>
          <w:szCs w:val="21"/>
        </w:rPr>
      </w:pPr>
      <w:r>
        <w:rPr>
          <w:rFonts w:ascii="Times New Roman" w:hAnsi="Times New Roman" w:cs="Times New Roman"/>
          <w:szCs w:val="21"/>
        </w:rPr>
        <w:t>（2）补修课程要求：跨学科入学的研究生，应当在导师指导下补修本学科本科专业的有关课程，所得学分记为非学位课程学分，不计入培养方案总学分。</w:t>
      </w:r>
    </w:p>
    <w:p>
      <w:pPr>
        <w:ind w:firstLine="420" w:firstLineChars="200"/>
        <w:rPr>
          <w:rFonts w:ascii="Times New Roman" w:hAnsi="Times New Roman" w:cs="Times New Roman"/>
        </w:rPr>
      </w:pPr>
      <w:r>
        <w:rPr>
          <w:rFonts w:ascii="Times New Roman" w:hAnsi="Times New Roman" w:cs="Times New Roman"/>
          <w:szCs w:val="21"/>
        </w:rPr>
        <w:t>（3）</w:t>
      </w:r>
      <w:r>
        <w:rPr>
          <w:rFonts w:ascii="Times New Roman" w:hAnsi="Times New Roman" w:cs="Times New Roman"/>
        </w:rPr>
        <w:t>港澳台硕士生可免修思想政治理论课，代之以修读《中国概况》。</w:t>
      </w:r>
    </w:p>
    <w:p>
      <w:pPr>
        <w:ind w:firstLine="420" w:firstLineChars="200"/>
        <w:rPr>
          <w:rFonts w:ascii="Times New Roman" w:hAnsi="Times New Roman" w:cs="Times New Roman"/>
        </w:rPr>
      </w:pPr>
      <w:r>
        <w:rPr>
          <w:rFonts w:ascii="Times New Roman" w:hAnsi="Times New Roman" w:cs="Times New Roman"/>
          <w:szCs w:val="21"/>
        </w:rPr>
        <w:t>（4）国际留学硕士生可免修思想政治理论课、第一外国语，代之以修读《中国概况》或《中国文明导论》和汉语课</w:t>
      </w:r>
      <w:r>
        <w:rPr>
          <w:rFonts w:ascii="Times New Roman" w:hAnsi="Times New Roman" w:cs="Times New Roman"/>
        </w:rPr>
        <w:t>程等有关课程。以外语为专业教学语言的学科、专业的留学生毕业时，中文能力应当至少达到《国际汉语能力标准》三级水平。</w:t>
      </w:r>
    </w:p>
    <w:p>
      <w:pPr>
        <w:spacing w:before="156" w:beforeLines="50" w:after="156" w:afterLines="50"/>
        <w:ind w:firstLine="420" w:firstLineChars="200"/>
        <w:rPr>
          <w:rFonts w:ascii="Times New Roman" w:hAnsi="Times New Roman" w:cs="Times New Roman"/>
          <w:b/>
          <w:szCs w:val="21"/>
        </w:rPr>
      </w:pPr>
      <w:r>
        <w:rPr>
          <w:rFonts w:ascii="Times New Roman" w:hAnsi="Times New Roman" w:eastAsia="黑体" w:cs="Times New Roman"/>
        </w:rPr>
        <w:t>2.</w:t>
      </w:r>
      <w:r>
        <w:rPr>
          <w:rFonts w:ascii="Times New Roman" w:hAnsi="Times New Roman" w:eastAsia="黑体" w:cs="Times New Roman"/>
          <w:szCs w:val="21"/>
        </w:rPr>
        <w:t>课程体系</w:t>
      </w:r>
    </w:p>
    <w:tbl>
      <w:tblPr>
        <w:tblStyle w:val="14"/>
        <w:tblW w:w="0" w:type="auto"/>
        <w:jc w:val="center"/>
        <w:tblLayout w:type="autofit"/>
        <w:tblCellMar>
          <w:top w:w="0" w:type="dxa"/>
          <w:left w:w="108" w:type="dxa"/>
          <w:bottom w:w="0" w:type="dxa"/>
          <w:right w:w="108" w:type="dxa"/>
        </w:tblCellMar>
      </w:tblPr>
      <w:tblGrid>
        <w:gridCol w:w="892"/>
        <w:gridCol w:w="1812"/>
        <w:gridCol w:w="4479"/>
        <w:gridCol w:w="702"/>
        <w:gridCol w:w="744"/>
        <w:gridCol w:w="886"/>
      </w:tblGrid>
      <w:tr>
        <w:tblPrEx>
          <w:tblCellMar>
            <w:top w:w="0" w:type="dxa"/>
            <w:left w:w="108" w:type="dxa"/>
            <w:bottom w:w="0" w:type="dxa"/>
            <w:right w:w="108" w:type="dxa"/>
          </w:tblCellMar>
        </w:tblPrEx>
        <w:trPr>
          <w:trHeight w:val="613" w:hRule="atLeast"/>
          <w:tblHeader/>
          <w:jc w:val="center"/>
        </w:trPr>
        <w:tc>
          <w:tcPr>
            <w:tcW w:w="892" w:type="dxa"/>
            <w:tcBorders>
              <w:top w:val="single" w:color="auto" w:sz="4" w:space="0"/>
              <w:left w:val="single" w:color="auto" w:sz="4" w:space="0"/>
              <w:bottom w:val="single" w:color="auto" w:sz="6" w:space="0"/>
              <w:right w:val="single" w:color="auto" w:sz="6" w:space="0"/>
            </w:tcBorders>
            <w:vAlign w:val="center"/>
          </w:tcPr>
          <w:p>
            <w:pPr>
              <w:rPr>
                <w:rFonts w:ascii="Times New Roman" w:hAnsi="Times New Roman" w:cs="Times New Roman"/>
                <w:b/>
                <w:szCs w:val="21"/>
              </w:rPr>
            </w:pPr>
            <w:r>
              <w:rPr>
                <w:rFonts w:ascii="Times New Roman" w:hAnsi="Times New Roman" w:cs="Times New Roman"/>
                <w:b/>
                <w:szCs w:val="21"/>
              </w:rPr>
              <w:t>课程</w:t>
            </w:r>
          </w:p>
          <w:p>
            <w:pPr>
              <w:rPr>
                <w:rFonts w:ascii="Times New Roman" w:hAnsi="Times New Roman" w:cs="Times New Roman"/>
                <w:b/>
                <w:szCs w:val="21"/>
              </w:rPr>
            </w:pPr>
            <w:r>
              <w:rPr>
                <w:rFonts w:ascii="Times New Roman" w:hAnsi="Times New Roman" w:cs="Times New Roman"/>
                <w:b/>
                <w:szCs w:val="21"/>
              </w:rPr>
              <w:t>类别</w:t>
            </w:r>
          </w:p>
        </w:tc>
        <w:tc>
          <w:tcPr>
            <w:tcW w:w="1812" w:type="dxa"/>
            <w:tcBorders>
              <w:top w:val="single" w:color="auto" w:sz="4" w:space="0"/>
              <w:left w:val="single" w:color="auto" w:sz="6" w:space="0"/>
              <w:bottom w:val="single" w:color="auto" w:sz="6" w:space="0"/>
              <w:right w:val="single" w:color="auto" w:sz="6" w:space="0"/>
            </w:tcBorders>
          </w:tcPr>
          <w:p>
            <w:pPr>
              <w:jc w:val="center"/>
              <w:rPr>
                <w:rFonts w:ascii="Times New Roman" w:hAnsi="Times New Roman" w:cs="Times New Roman"/>
                <w:b/>
                <w:szCs w:val="21"/>
              </w:rPr>
            </w:pPr>
          </w:p>
          <w:p>
            <w:pPr>
              <w:jc w:val="center"/>
              <w:rPr>
                <w:rFonts w:ascii="Times New Roman" w:hAnsi="Times New Roman" w:cs="Times New Roman"/>
                <w:b/>
                <w:szCs w:val="21"/>
              </w:rPr>
            </w:pPr>
            <w:r>
              <w:rPr>
                <w:rFonts w:ascii="Times New Roman" w:hAnsi="Times New Roman" w:cs="Times New Roman"/>
                <w:b/>
                <w:szCs w:val="21"/>
              </w:rPr>
              <w:t>课程编号</w:t>
            </w:r>
          </w:p>
        </w:tc>
        <w:tc>
          <w:tcPr>
            <w:tcW w:w="4479"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b/>
                <w:szCs w:val="21"/>
              </w:rPr>
            </w:pPr>
          </w:p>
          <w:p>
            <w:pPr>
              <w:jc w:val="center"/>
              <w:rPr>
                <w:rFonts w:ascii="Times New Roman" w:hAnsi="Times New Roman" w:cs="Times New Roman"/>
                <w:b/>
                <w:szCs w:val="21"/>
              </w:rPr>
            </w:pPr>
            <w:r>
              <w:rPr>
                <w:rFonts w:ascii="Times New Roman" w:hAnsi="Times New Roman" w:cs="Times New Roman"/>
                <w:b/>
                <w:szCs w:val="21"/>
              </w:rPr>
              <w:t>课程中英文名称</w:t>
            </w:r>
          </w:p>
        </w:tc>
        <w:tc>
          <w:tcPr>
            <w:tcW w:w="702"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b/>
                <w:szCs w:val="21"/>
              </w:rPr>
            </w:pPr>
          </w:p>
          <w:p>
            <w:pPr>
              <w:jc w:val="center"/>
              <w:rPr>
                <w:rFonts w:ascii="Times New Roman" w:hAnsi="Times New Roman" w:cs="Times New Roman"/>
                <w:b/>
                <w:szCs w:val="21"/>
              </w:rPr>
            </w:pPr>
            <w:r>
              <w:rPr>
                <w:rFonts w:ascii="Times New Roman" w:hAnsi="Times New Roman" w:cs="Times New Roman"/>
                <w:b/>
                <w:szCs w:val="21"/>
              </w:rPr>
              <w:t>学分</w:t>
            </w:r>
          </w:p>
        </w:tc>
        <w:tc>
          <w:tcPr>
            <w:tcW w:w="744"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b/>
                <w:szCs w:val="21"/>
              </w:rPr>
              <w:t>开课学期</w:t>
            </w:r>
          </w:p>
        </w:tc>
        <w:tc>
          <w:tcPr>
            <w:tcW w:w="886" w:type="dxa"/>
            <w:tcBorders>
              <w:top w:val="single" w:color="auto" w:sz="4" w:space="0"/>
              <w:left w:val="single" w:color="auto" w:sz="6" w:space="0"/>
              <w:bottom w:val="single" w:color="auto" w:sz="6" w:space="0"/>
              <w:right w:val="single" w:color="auto" w:sz="4" w:space="0"/>
            </w:tcBorders>
          </w:tcPr>
          <w:p>
            <w:pPr>
              <w:jc w:val="center"/>
              <w:rPr>
                <w:rFonts w:ascii="Times New Roman" w:hAnsi="Times New Roman" w:cs="Times New Roman"/>
                <w:b/>
                <w:szCs w:val="21"/>
              </w:rPr>
            </w:pPr>
            <w:r>
              <w:rPr>
                <w:rFonts w:ascii="Times New Roman" w:hAnsi="Times New Roman" w:cs="Times New Roman"/>
                <w:b/>
                <w:szCs w:val="21"/>
              </w:rPr>
              <w:t>修读要求</w:t>
            </w:r>
          </w:p>
        </w:tc>
      </w:tr>
      <w:tr>
        <w:tblPrEx>
          <w:tblCellMar>
            <w:top w:w="0" w:type="dxa"/>
            <w:left w:w="108" w:type="dxa"/>
            <w:bottom w:w="0" w:type="dxa"/>
            <w:right w:w="108" w:type="dxa"/>
          </w:tblCellMar>
        </w:tblPrEx>
        <w:trPr>
          <w:trHeight w:val="778" w:hRule="atLeast"/>
          <w:jc w:val="center"/>
        </w:trPr>
        <w:tc>
          <w:tcPr>
            <w:tcW w:w="892" w:type="dxa"/>
            <w:vMerge w:val="restart"/>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r>
              <w:rPr>
                <w:rFonts w:ascii="Times New Roman" w:hAnsi="Times New Roman" w:cs="Times New Roman"/>
                <w:b/>
                <w:szCs w:val="21"/>
              </w:rPr>
              <w:t>学位公共课</w:t>
            </w:r>
          </w:p>
        </w:tc>
        <w:tc>
          <w:tcPr>
            <w:tcW w:w="1812" w:type="dxa"/>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sz w:val="18"/>
                <w:szCs w:val="18"/>
              </w:rPr>
            </w:pPr>
            <w:r>
              <w:rPr>
                <w:rFonts w:ascii="Times New Roman" w:hAnsi="Times New Roman" w:cs="Times New Roman"/>
                <w:sz w:val="18"/>
                <w:szCs w:val="18"/>
              </w:rPr>
              <w:t>TYKC0611101006</w:t>
            </w:r>
          </w:p>
        </w:tc>
        <w:tc>
          <w:tcPr>
            <w:tcW w:w="447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新时代中国特色社会主义理论与实践</w:t>
            </w:r>
          </w:p>
          <w:p>
            <w:pPr>
              <w:spacing w:line="260" w:lineRule="exact"/>
              <w:rPr>
                <w:rFonts w:ascii="Times New Roman" w:hAnsi="Times New Roman" w:cs="Times New Roman"/>
                <w:sz w:val="18"/>
                <w:szCs w:val="18"/>
              </w:rPr>
            </w:pPr>
            <w:r>
              <w:rPr>
                <w:rFonts w:ascii="Times New Roman" w:hAnsi="Times New Roman" w:cs="Times New Roman"/>
                <w:sz w:val="18"/>
                <w:szCs w:val="18"/>
              </w:rPr>
              <w:t xml:space="preserve">Theory and Practice of Socialism with Chinese characteristics in the new era </w:t>
            </w:r>
          </w:p>
        </w:tc>
        <w:tc>
          <w:tcPr>
            <w:tcW w:w="70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2</w:t>
            </w:r>
          </w:p>
        </w:tc>
        <w:tc>
          <w:tcPr>
            <w:tcW w:w="74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r>
              <w:rPr>
                <w:rFonts w:ascii="Times New Roman" w:hAnsi="Times New Roman" w:cs="Times New Roman"/>
                <w:sz w:val="18"/>
                <w:szCs w:val="18"/>
              </w:rPr>
              <w:t>必选</w:t>
            </w:r>
          </w:p>
        </w:tc>
      </w:tr>
      <w:tr>
        <w:tblPrEx>
          <w:tblCellMar>
            <w:top w:w="0" w:type="dxa"/>
            <w:left w:w="108" w:type="dxa"/>
            <w:bottom w:w="0" w:type="dxa"/>
            <w:right w:w="108" w:type="dxa"/>
          </w:tblCellMar>
        </w:tblPrEx>
        <w:trPr>
          <w:trHeight w:val="778" w:hRule="atLeast"/>
          <w:jc w:val="center"/>
        </w:trPr>
        <w:tc>
          <w:tcPr>
            <w:tcW w:w="892"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812" w:type="dxa"/>
            <w:tcBorders>
              <w:left w:val="single" w:color="auto" w:sz="6" w:space="0"/>
              <w:bottom w:val="single" w:color="auto" w:sz="4" w:space="0"/>
              <w:right w:val="single" w:color="auto" w:sz="6" w:space="0"/>
            </w:tcBorders>
          </w:tcPr>
          <w:p>
            <w:pPr>
              <w:rPr>
                <w:rFonts w:ascii="Times New Roman" w:hAnsi="Times New Roman" w:cs="Times New Roman"/>
                <w:sz w:val="18"/>
                <w:szCs w:val="18"/>
              </w:rPr>
            </w:pPr>
            <w:r>
              <w:rPr>
                <w:rFonts w:ascii="Times New Roman" w:hAnsi="Times New Roman" w:cs="Times New Roman"/>
                <w:sz w:val="18"/>
                <w:szCs w:val="18"/>
              </w:rPr>
              <w:t>TYKC0611101003</w:t>
            </w:r>
          </w:p>
        </w:tc>
        <w:tc>
          <w:tcPr>
            <w:tcW w:w="4479" w:type="dxa"/>
            <w:tcBorders>
              <w:top w:val="single" w:color="auto" w:sz="6" w:space="0"/>
              <w:left w:val="single" w:color="auto" w:sz="6" w:space="0"/>
              <w:bottom w:val="single" w:color="auto" w:sz="4"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自然辩证法</w:t>
            </w:r>
          </w:p>
          <w:p>
            <w:pPr>
              <w:spacing w:line="260" w:lineRule="exact"/>
              <w:rPr>
                <w:rFonts w:ascii="Times New Roman" w:hAnsi="Times New Roman" w:cs="Times New Roman"/>
                <w:sz w:val="18"/>
                <w:szCs w:val="18"/>
              </w:rPr>
            </w:pPr>
            <w:r>
              <w:rPr>
                <w:rFonts w:ascii="Times New Roman" w:hAnsi="Times New Roman" w:cs="Times New Roman"/>
                <w:sz w:val="18"/>
                <w:szCs w:val="18"/>
              </w:rPr>
              <w:t>The Outline of Dialectics of  Nature</w:t>
            </w:r>
          </w:p>
        </w:tc>
        <w:tc>
          <w:tcPr>
            <w:tcW w:w="702"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1</w:t>
            </w:r>
          </w:p>
        </w:tc>
        <w:tc>
          <w:tcPr>
            <w:tcW w:w="744"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秋</w:t>
            </w:r>
          </w:p>
        </w:tc>
        <w:tc>
          <w:tcPr>
            <w:tcW w:w="886" w:type="dxa"/>
            <w:tcBorders>
              <w:top w:val="single" w:color="auto" w:sz="6" w:space="0"/>
              <w:left w:val="single" w:color="auto" w:sz="6" w:space="0"/>
              <w:bottom w:val="single" w:color="auto" w:sz="4" w:space="0"/>
              <w:right w:val="single" w:color="auto" w:sz="4" w:space="0"/>
            </w:tcBorders>
          </w:tcPr>
          <w:p>
            <w:pPr>
              <w:jc w:val="center"/>
              <w:rPr>
                <w:rFonts w:ascii="Times New Roman" w:hAnsi="Times New Roman" w:cs="Times New Roman"/>
                <w:sz w:val="18"/>
                <w:szCs w:val="18"/>
              </w:rPr>
            </w:pPr>
            <w:r>
              <w:rPr>
                <w:rFonts w:ascii="Times New Roman" w:hAnsi="Times New Roman" w:cs="Times New Roman"/>
                <w:sz w:val="18"/>
                <w:szCs w:val="18"/>
              </w:rPr>
              <w:t>理工必选</w:t>
            </w:r>
          </w:p>
        </w:tc>
      </w:tr>
      <w:tr>
        <w:tblPrEx>
          <w:tblCellMar>
            <w:top w:w="0" w:type="dxa"/>
            <w:left w:w="108" w:type="dxa"/>
            <w:bottom w:w="0" w:type="dxa"/>
            <w:right w:w="108" w:type="dxa"/>
          </w:tblCellMar>
        </w:tblPrEx>
        <w:trPr>
          <w:trHeight w:val="778" w:hRule="atLeast"/>
          <w:jc w:val="center"/>
        </w:trPr>
        <w:tc>
          <w:tcPr>
            <w:tcW w:w="892"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812" w:type="dxa"/>
            <w:tcBorders>
              <w:top w:val="single" w:color="auto" w:sz="4" w:space="0"/>
              <w:left w:val="single" w:color="auto" w:sz="6" w:space="0"/>
              <w:bottom w:val="single" w:color="auto" w:sz="4" w:space="0"/>
              <w:right w:val="single" w:color="auto" w:sz="6" w:space="0"/>
            </w:tcBorders>
          </w:tcPr>
          <w:p>
            <w:pPr>
              <w:rPr>
                <w:rFonts w:ascii="Times New Roman" w:hAnsi="Times New Roman" w:cs="Times New Roman"/>
                <w:sz w:val="18"/>
                <w:szCs w:val="18"/>
              </w:rPr>
            </w:pPr>
          </w:p>
        </w:tc>
        <w:tc>
          <w:tcPr>
            <w:tcW w:w="4479" w:type="dxa"/>
            <w:tcBorders>
              <w:top w:val="single" w:color="auto" w:sz="4" w:space="0"/>
              <w:left w:val="single" w:color="auto" w:sz="6" w:space="0"/>
              <w:bottom w:val="single" w:color="auto" w:sz="4"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外国语</w:t>
            </w:r>
          </w:p>
          <w:p>
            <w:pPr>
              <w:spacing w:line="260" w:lineRule="exact"/>
              <w:rPr>
                <w:rFonts w:ascii="Times New Roman" w:hAnsi="Times New Roman" w:cs="Times New Roman"/>
                <w:sz w:val="18"/>
                <w:szCs w:val="18"/>
              </w:rPr>
            </w:pPr>
            <w:r>
              <w:rPr>
                <w:rFonts w:ascii="Times New Roman" w:hAnsi="Times New Roman" w:cs="Times New Roman"/>
                <w:sz w:val="18"/>
                <w:szCs w:val="18"/>
              </w:rPr>
              <w:t>English</w:t>
            </w:r>
          </w:p>
        </w:tc>
        <w:tc>
          <w:tcPr>
            <w:tcW w:w="702" w:type="dxa"/>
            <w:tcBorders>
              <w:top w:val="single" w:color="auto" w:sz="4" w:space="0"/>
              <w:left w:val="single" w:color="auto" w:sz="6" w:space="0"/>
              <w:bottom w:val="single" w:color="auto" w:sz="4" w:space="0"/>
              <w:right w:val="single" w:color="auto" w:sz="6" w:space="0"/>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2</w:t>
            </w:r>
          </w:p>
        </w:tc>
        <w:tc>
          <w:tcPr>
            <w:tcW w:w="744" w:type="dxa"/>
            <w:tcBorders>
              <w:top w:val="single" w:color="auto" w:sz="4" w:space="0"/>
              <w:left w:val="single" w:color="auto" w:sz="6" w:space="0"/>
              <w:bottom w:val="single" w:color="auto" w:sz="4" w:space="0"/>
              <w:right w:val="single" w:color="auto" w:sz="6" w:space="0"/>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春/秋</w:t>
            </w:r>
          </w:p>
        </w:tc>
        <w:tc>
          <w:tcPr>
            <w:tcW w:w="886" w:type="dxa"/>
            <w:tcBorders>
              <w:top w:val="single" w:color="auto" w:sz="4" w:space="0"/>
              <w:left w:val="single" w:color="auto" w:sz="6" w:space="0"/>
              <w:bottom w:val="single" w:color="auto" w:sz="4" w:space="0"/>
              <w:right w:val="single" w:color="auto" w:sz="4" w:space="0"/>
            </w:tcBorders>
          </w:tcPr>
          <w:p>
            <w:pPr>
              <w:jc w:val="center"/>
              <w:rPr>
                <w:rFonts w:ascii="Times New Roman" w:hAnsi="Times New Roman" w:cs="Times New Roman"/>
                <w:sz w:val="18"/>
                <w:szCs w:val="18"/>
              </w:rPr>
            </w:pPr>
            <w:r>
              <w:rPr>
                <w:rFonts w:ascii="Times New Roman" w:hAnsi="Times New Roman" w:cs="Times New Roman"/>
                <w:sz w:val="18"/>
                <w:szCs w:val="18"/>
              </w:rPr>
              <w:t>必选</w:t>
            </w:r>
          </w:p>
        </w:tc>
      </w:tr>
      <w:tr>
        <w:tblPrEx>
          <w:tblCellMar>
            <w:top w:w="0" w:type="dxa"/>
            <w:left w:w="108" w:type="dxa"/>
            <w:bottom w:w="0" w:type="dxa"/>
            <w:right w:w="108" w:type="dxa"/>
          </w:tblCellMar>
        </w:tblPrEx>
        <w:trPr>
          <w:trHeight w:val="778" w:hRule="atLeast"/>
          <w:jc w:val="center"/>
        </w:trPr>
        <w:tc>
          <w:tcPr>
            <w:tcW w:w="892"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812" w:type="dxa"/>
            <w:tcBorders>
              <w:top w:val="single" w:color="auto" w:sz="4" w:space="0"/>
              <w:left w:val="single" w:color="auto" w:sz="6" w:space="0"/>
              <w:bottom w:val="single" w:color="auto" w:sz="6" w:space="0"/>
              <w:right w:val="single" w:color="auto" w:sz="6" w:space="0"/>
            </w:tcBorders>
          </w:tcPr>
          <w:p>
            <w:pPr>
              <w:rPr>
                <w:rFonts w:ascii="Times New Roman" w:hAnsi="Times New Roman" w:cs="Times New Roman"/>
                <w:sz w:val="18"/>
                <w:szCs w:val="18"/>
              </w:rPr>
            </w:pPr>
          </w:p>
        </w:tc>
        <w:tc>
          <w:tcPr>
            <w:tcW w:w="4479" w:type="dxa"/>
            <w:tcBorders>
              <w:top w:val="single" w:color="auto" w:sz="4"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研究伦理与学术规范类课程</w:t>
            </w:r>
          </w:p>
          <w:p>
            <w:pPr>
              <w:spacing w:line="260" w:lineRule="exact"/>
              <w:rPr>
                <w:rFonts w:ascii="Times New Roman" w:hAnsi="Times New Roman" w:cs="Times New Roman"/>
                <w:sz w:val="18"/>
                <w:szCs w:val="18"/>
              </w:rPr>
            </w:pPr>
            <w:r>
              <w:rPr>
                <w:rFonts w:ascii="Times New Roman" w:hAnsi="Times New Roman" w:cs="Times New Roman"/>
                <w:sz w:val="18"/>
                <w:szCs w:val="18"/>
              </w:rPr>
              <w:t>Discipline and Ethics in Academic Research</w:t>
            </w:r>
          </w:p>
        </w:tc>
        <w:tc>
          <w:tcPr>
            <w:tcW w:w="702"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1</w:t>
            </w:r>
          </w:p>
        </w:tc>
        <w:tc>
          <w:tcPr>
            <w:tcW w:w="744"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sz w:val="18"/>
                <w:szCs w:val="18"/>
              </w:rPr>
            </w:pPr>
          </w:p>
        </w:tc>
        <w:tc>
          <w:tcPr>
            <w:tcW w:w="886" w:type="dxa"/>
            <w:tcBorders>
              <w:top w:val="single" w:color="auto" w:sz="4"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r>
              <w:rPr>
                <w:rFonts w:ascii="Times New Roman" w:hAnsi="Times New Roman" w:cs="Times New Roman"/>
                <w:sz w:val="18"/>
                <w:szCs w:val="18"/>
              </w:rPr>
              <w:t>必选</w:t>
            </w:r>
          </w:p>
        </w:tc>
      </w:tr>
      <w:tr>
        <w:tblPrEx>
          <w:tblCellMar>
            <w:top w:w="0" w:type="dxa"/>
            <w:left w:w="108" w:type="dxa"/>
            <w:bottom w:w="0" w:type="dxa"/>
            <w:right w:w="108" w:type="dxa"/>
          </w:tblCellMar>
        </w:tblPrEx>
        <w:trPr>
          <w:trHeight w:val="522" w:hRule="atLeast"/>
          <w:jc w:val="center"/>
        </w:trPr>
        <w:tc>
          <w:tcPr>
            <w:tcW w:w="892"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812" w:type="dxa"/>
            <w:tcBorders>
              <w:left w:val="single" w:color="auto" w:sz="6" w:space="0"/>
              <w:bottom w:val="single" w:color="auto" w:sz="6" w:space="0"/>
              <w:right w:val="single" w:color="auto" w:sz="6" w:space="0"/>
            </w:tcBorders>
          </w:tcPr>
          <w:p>
            <w:pPr>
              <w:rPr>
                <w:rFonts w:ascii="Times New Roman" w:hAnsi="Times New Roman" w:cs="Times New Roman"/>
                <w:sz w:val="18"/>
                <w:szCs w:val="18"/>
              </w:rPr>
            </w:pPr>
          </w:p>
        </w:tc>
        <w:tc>
          <w:tcPr>
            <w:tcW w:w="447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通识选修类课程</w:t>
            </w:r>
          </w:p>
        </w:tc>
        <w:tc>
          <w:tcPr>
            <w:tcW w:w="70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2</w:t>
            </w:r>
          </w:p>
        </w:tc>
        <w:tc>
          <w:tcPr>
            <w:tcW w:w="74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18"/>
                <w:szCs w:val="18"/>
              </w:rPr>
            </w:pP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r>
              <w:rPr>
                <w:rFonts w:ascii="Times New Roman" w:hAnsi="Times New Roman" w:cs="Times New Roman"/>
                <w:sz w:val="18"/>
                <w:szCs w:val="18"/>
              </w:rPr>
              <w:t>必选</w:t>
            </w:r>
          </w:p>
        </w:tc>
      </w:tr>
      <w:tr>
        <w:tblPrEx>
          <w:tblCellMar>
            <w:top w:w="0" w:type="dxa"/>
            <w:left w:w="108" w:type="dxa"/>
            <w:bottom w:w="0" w:type="dxa"/>
            <w:right w:w="108" w:type="dxa"/>
          </w:tblCellMar>
        </w:tblPrEx>
        <w:trPr>
          <w:trHeight w:val="522" w:hRule="atLeast"/>
          <w:jc w:val="center"/>
        </w:trPr>
        <w:tc>
          <w:tcPr>
            <w:tcW w:w="892" w:type="dxa"/>
            <w:vMerge w:val="continue"/>
            <w:tcBorders>
              <w:left w:val="single" w:color="auto" w:sz="4" w:space="0"/>
              <w:bottom w:val="single" w:color="auto" w:sz="4" w:space="0"/>
              <w:right w:val="single" w:color="auto" w:sz="6" w:space="0"/>
            </w:tcBorders>
            <w:vAlign w:val="center"/>
          </w:tcPr>
          <w:p>
            <w:pPr>
              <w:jc w:val="center"/>
              <w:rPr>
                <w:rFonts w:ascii="Times New Roman" w:hAnsi="Times New Roman" w:cs="Times New Roman"/>
                <w:szCs w:val="21"/>
              </w:rPr>
            </w:pPr>
          </w:p>
        </w:tc>
        <w:tc>
          <w:tcPr>
            <w:tcW w:w="8623" w:type="dxa"/>
            <w:gridSpan w:val="5"/>
            <w:tcBorders>
              <w:left w:val="single" w:color="auto" w:sz="6" w:space="0"/>
              <w:bottom w:val="single" w:color="auto" w:sz="6" w:space="0"/>
              <w:right w:val="single" w:color="auto" w:sz="4" w:space="0"/>
            </w:tcBorders>
          </w:tcPr>
          <w:p>
            <w:pPr>
              <w:jc w:val="center"/>
              <w:rPr>
                <w:rFonts w:ascii="Times New Roman" w:hAnsi="Times New Roman" w:cs="Times New Roman"/>
                <w:sz w:val="18"/>
                <w:szCs w:val="18"/>
              </w:rPr>
            </w:pPr>
            <w:r>
              <w:rPr>
                <w:rFonts w:ascii="Times New Roman" w:hAnsi="Times New Roman" w:cs="Times New Roman"/>
                <w:b/>
                <w:sz w:val="18"/>
                <w:szCs w:val="18"/>
              </w:rPr>
              <w:t>学分要求</w:t>
            </w:r>
            <w:r>
              <w:rPr>
                <w:rFonts w:ascii="Times New Roman" w:hAnsi="Times New Roman" w:cs="Times New Roman"/>
                <w:sz w:val="18"/>
                <w:szCs w:val="18"/>
              </w:rPr>
              <w:t>：≥8 学分</w:t>
            </w:r>
          </w:p>
        </w:tc>
      </w:tr>
      <w:tr>
        <w:tblPrEx>
          <w:tblCellMar>
            <w:top w:w="0" w:type="dxa"/>
            <w:left w:w="108" w:type="dxa"/>
            <w:bottom w:w="0" w:type="dxa"/>
            <w:right w:w="108" w:type="dxa"/>
          </w:tblCellMar>
        </w:tblPrEx>
        <w:trPr>
          <w:trHeight w:val="658" w:hRule="atLeast"/>
          <w:jc w:val="center"/>
        </w:trPr>
        <w:tc>
          <w:tcPr>
            <w:tcW w:w="892" w:type="dxa"/>
            <w:vMerge w:val="restart"/>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r>
              <w:rPr>
                <w:rFonts w:ascii="Times New Roman" w:hAnsi="Times New Roman" w:cs="Times New Roman"/>
                <w:b/>
                <w:szCs w:val="21"/>
              </w:rPr>
              <w:t>学位</w:t>
            </w:r>
          </w:p>
          <w:p>
            <w:pPr>
              <w:jc w:val="center"/>
              <w:rPr>
                <w:rFonts w:ascii="Times New Roman" w:hAnsi="Times New Roman" w:cs="Times New Roman"/>
                <w:szCs w:val="21"/>
              </w:rPr>
            </w:pPr>
            <w:r>
              <w:rPr>
                <w:rFonts w:ascii="Times New Roman" w:hAnsi="Times New Roman" w:cs="Times New Roman"/>
                <w:b/>
                <w:szCs w:val="21"/>
              </w:rPr>
              <w:t>基础课</w:t>
            </w:r>
          </w:p>
        </w:tc>
        <w:tc>
          <w:tcPr>
            <w:tcW w:w="1812" w:type="dxa"/>
            <w:tcBorders>
              <w:top w:val="single" w:color="auto" w:sz="6" w:space="0"/>
              <w:left w:val="single" w:color="auto" w:sz="6" w:space="0"/>
              <w:bottom w:val="single" w:color="auto" w:sz="4"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ENSE3211102035</w:t>
            </w:r>
          </w:p>
        </w:tc>
        <w:tc>
          <w:tcPr>
            <w:tcW w:w="4479" w:type="dxa"/>
            <w:tcBorders>
              <w:top w:val="single" w:color="auto" w:sz="6" w:space="0"/>
              <w:left w:val="single" w:color="auto" w:sz="6" w:space="0"/>
              <w:bottom w:val="single" w:color="auto" w:sz="4"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环境科学与工程研究进展</w:t>
            </w:r>
          </w:p>
          <w:p>
            <w:pPr>
              <w:pStyle w:val="39"/>
              <w:jc w:val="left"/>
              <w:rPr>
                <w:rFonts w:ascii="Times New Roman" w:hAnsi="Times New Roman" w:cs="Times New Roman"/>
                <w:color w:val="000000"/>
              </w:rPr>
            </w:pPr>
            <w:r>
              <w:rPr>
                <w:rFonts w:ascii="Times New Roman" w:hAnsi="Times New Roman" w:cs="Times New Roman"/>
                <w:color w:val="000000"/>
              </w:rPr>
              <w:t>Research Progress in Environmental Science and Engineering</w:t>
            </w:r>
          </w:p>
        </w:tc>
        <w:tc>
          <w:tcPr>
            <w:tcW w:w="702" w:type="dxa"/>
            <w:tcBorders>
              <w:top w:val="single" w:color="auto" w:sz="6" w:space="0"/>
              <w:left w:val="single" w:color="auto" w:sz="6" w:space="0"/>
              <w:bottom w:val="single" w:color="auto" w:sz="4"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4"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4"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658"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bottom w:val="single" w:color="auto" w:sz="4"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ENSE3211102036</w:t>
            </w:r>
          </w:p>
        </w:tc>
        <w:tc>
          <w:tcPr>
            <w:tcW w:w="4479" w:type="dxa"/>
            <w:tcBorders>
              <w:top w:val="single" w:color="auto" w:sz="6" w:space="0"/>
              <w:left w:val="single" w:color="auto" w:sz="6" w:space="0"/>
              <w:bottom w:val="single" w:color="auto" w:sz="4"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环境科学与工程专业外语</w:t>
            </w:r>
          </w:p>
          <w:p>
            <w:pPr>
              <w:pStyle w:val="39"/>
              <w:jc w:val="left"/>
              <w:rPr>
                <w:rFonts w:ascii="Times New Roman" w:hAnsi="Times New Roman" w:cs="Times New Roman"/>
                <w:color w:val="000000"/>
              </w:rPr>
            </w:pPr>
            <w:r>
              <w:rPr>
                <w:rFonts w:ascii="Times New Roman" w:hAnsi="Times New Roman" w:cs="Times New Roman"/>
                <w:color w:val="000000"/>
              </w:rPr>
              <w:t>English Course in Environmental Science and Engineering</w:t>
            </w:r>
          </w:p>
        </w:tc>
        <w:tc>
          <w:tcPr>
            <w:tcW w:w="702" w:type="dxa"/>
            <w:tcBorders>
              <w:top w:val="single" w:color="auto" w:sz="6" w:space="0"/>
              <w:left w:val="single" w:color="auto" w:sz="6" w:space="0"/>
              <w:bottom w:val="single" w:color="auto" w:sz="4"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4"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4"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658"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bottom w:val="single" w:color="auto" w:sz="4"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ENSE3211102058</w:t>
            </w:r>
          </w:p>
        </w:tc>
        <w:tc>
          <w:tcPr>
            <w:tcW w:w="4479" w:type="dxa"/>
            <w:tcBorders>
              <w:top w:val="single" w:color="auto" w:sz="6" w:space="0"/>
              <w:left w:val="single" w:color="auto" w:sz="6" w:space="0"/>
              <w:bottom w:val="single" w:color="auto" w:sz="4" w:space="0"/>
              <w:right w:val="single" w:color="auto" w:sz="6" w:space="0"/>
            </w:tcBorders>
            <w:vAlign w:val="center"/>
          </w:tcPr>
          <w:p>
            <w:pPr>
              <w:pStyle w:val="39"/>
              <w:jc w:val="left"/>
              <w:rPr>
                <w:rFonts w:ascii="Times New Roman" w:hAnsi="Times New Roman" w:cs="Times New Roman" w:eastAsiaTheme="minorEastAsia"/>
                <w:color w:val="000000"/>
              </w:rPr>
            </w:pPr>
            <w:r>
              <w:rPr>
                <w:rFonts w:hint="eastAsia" w:ascii="Times New Roman" w:hAnsi="Times New Roman" w:cs="Times New Roman" w:eastAsiaTheme="minorEastAsia"/>
                <w:color w:val="000000"/>
              </w:rPr>
              <w:t>研究生科研素养必备</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How to Do Research</w:t>
            </w:r>
          </w:p>
        </w:tc>
        <w:tc>
          <w:tcPr>
            <w:tcW w:w="702" w:type="dxa"/>
            <w:tcBorders>
              <w:top w:val="single" w:color="auto" w:sz="6" w:space="0"/>
              <w:left w:val="single" w:color="auto" w:sz="6" w:space="0"/>
              <w:bottom w:val="single" w:color="auto" w:sz="4" w:space="0"/>
              <w:right w:val="single" w:color="auto" w:sz="6" w:space="0"/>
            </w:tcBorders>
            <w:vAlign w:val="center"/>
          </w:tcPr>
          <w:p>
            <w:pPr>
              <w:pStyle w:val="39"/>
              <w:jc w:val="center"/>
              <w:rPr>
                <w:rFonts w:ascii="Times New Roman" w:hAnsi="Times New Roman" w:cs="Times New Roman"/>
                <w:color w:val="000000"/>
              </w:rPr>
            </w:pPr>
            <w:r>
              <w:rPr>
                <w:rFonts w:hint="eastAsia" w:ascii="Times New Roman" w:hAnsi="Times New Roman" w:cs="Times New Roman"/>
                <w:color w:val="000000"/>
              </w:rPr>
              <w:t>2</w:t>
            </w:r>
          </w:p>
        </w:tc>
        <w:tc>
          <w:tcPr>
            <w:tcW w:w="744" w:type="dxa"/>
            <w:tcBorders>
              <w:top w:val="single" w:color="auto" w:sz="6" w:space="0"/>
              <w:left w:val="single" w:color="auto" w:sz="6" w:space="0"/>
              <w:bottom w:val="single" w:color="auto" w:sz="4" w:space="0"/>
              <w:right w:val="single" w:color="auto" w:sz="6" w:space="0"/>
            </w:tcBorders>
            <w:vAlign w:val="center"/>
          </w:tcPr>
          <w:p>
            <w:pPr>
              <w:pStyle w:val="39"/>
              <w:jc w:val="center"/>
              <w:rPr>
                <w:rFonts w:ascii="Times New Roman" w:hAnsi="Times New Roman" w:cs="Times New Roman" w:eastAsiaTheme="minorEastAsia"/>
                <w:color w:val="000000"/>
              </w:rPr>
            </w:pPr>
            <w:r>
              <w:rPr>
                <w:rFonts w:hint="eastAsia"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4"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70" w:hRule="atLeast"/>
          <w:jc w:val="center"/>
        </w:trPr>
        <w:tc>
          <w:tcPr>
            <w:tcW w:w="892" w:type="dxa"/>
            <w:vMerge w:val="continue"/>
            <w:tcBorders>
              <w:left w:val="single" w:color="auto" w:sz="4" w:space="0"/>
              <w:bottom w:val="single" w:color="auto" w:sz="4" w:space="0"/>
              <w:right w:val="single" w:color="auto" w:sz="6" w:space="0"/>
            </w:tcBorders>
            <w:vAlign w:val="center"/>
          </w:tcPr>
          <w:p>
            <w:pPr>
              <w:jc w:val="center"/>
              <w:rPr>
                <w:rFonts w:ascii="Times New Roman" w:hAnsi="Times New Roman" w:cs="Times New Roman"/>
                <w:szCs w:val="21"/>
              </w:rPr>
            </w:pPr>
          </w:p>
        </w:tc>
        <w:tc>
          <w:tcPr>
            <w:tcW w:w="8623" w:type="dxa"/>
            <w:gridSpan w:val="5"/>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r>
              <w:rPr>
                <w:rFonts w:ascii="Times New Roman" w:hAnsi="Times New Roman" w:cs="Times New Roman"/>
                <w:b/>
                <w:sz w:val="18"/>
                <w:szCs w:val="18"/>
              </w:rPr>
              <w:t>学分要求</w:t>
            </w:r>
            <w:r>
              <w:rPr>
                <w:rFonts w:ascii="Times New Roman" w:hAnsi="Times New Roman" w:cs="Times New Roman"/>
                <w:sz w:val="18"/>
                <w:szCs w:val="18"/>
              </w:rPr>
              <w:t>：≥4学分</w:t>
            </w:r>
          </w:p>
        </w:tc>
      </w:tr>
      <w:tr>
        <w:tblPrEx>
          <w:tblCellMar>
            <w:top w:w="0" w:type="dxa"/>
            <w:left w:w="108" w:type="dxa"/>
            <w:bottom w:w="0" w:type="dxa"/>
            <w:right w:w="108" w:type="dxa"/>
          </w:tblCellMar>
        </w:tblPrEx>
        <w:trPr>
          <w:trHeight w:val="449" w:hRule="atLeast"/>
          <w:jc w:val="center"/>
        </w:trPr>
        <w:tc>
          <w:tcPr>
            <w:tcW w:w="892" w:type="dxa"/>
            <w:vMerge w:val="restart"/>
            <w:tcBorders>
              <w:top w:val="single" w:color="auto" w:sz="4" w:space="0"/>
              <w:left w:val="single" w:color="auto" w:sz="4"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b/>
                <w:szCs w:val="21"/>
              </w:rPr>
              <w:t>学位专业课（必修）</w:t>
            </w:r>
          </w:p>
        </w:tc>
        <w:tc>
          <w:tcPr>
            <w:tcW w:w="181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ENSE3211102051</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环境土壤学原理</w:t>
            </w:r>
          </w:p>
          <w:p>
            <w:pPr>
              <w:pStyle w:val="39"/>
              <w:jc w:val="left"/>
              <w:rPr>
                <w:rFonts w:ascii="Times New Roman" w:hAnsi="Times New Roman" w:cs="Times New Roman"/>
                <w:color w:val="000000"/>
              </w:rPr>
            </w:pPr>
            <w:r>
              <w:rPr>
                <w:rFonts w:ascii="Times New Roman" w:hAnsi="Times New Roman" w:cs="Times New Roman"/>
                <w:color w:val="000000"/>
              </w:rPr>
              <w:t>Principles of Environmental Soil Science</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49"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ENSE3211102037</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实验室安全教育</w:t>
            </w:r>
          </w:p>
          <w:p>
            <w:pPr>
              <w:pStyle w:val="39"/>
              <w:jc w:val="left"/>
              <w:rPr>
                <w:rFonts w:ascii="Times New Roman" w:hAnsi="Times New Roman" w:cs="Times New Roman" w:eastAsiaTheme="minorEastAsia"/>
                <w:color w:val="000000"/>
              </w:rPr>
            </w:pPr>
            <w:r>
              <w:rPr>
                <w:rFonts w:ascii="Times New Roman" w:hAnsi="Times New Roman" w:cs="Times New Roman"/>
                <w:color w:val="000000"/>
              </w:rPr>
              <w:t>Laboratory Safety Education</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1</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49"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ENSE3211102012</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环境微生物学</w:t>
            </w:r>
          </w:p>
          <w:p>
            <w:pPr>
              <w:pStyle w:val="39"/>
              <w:jc w:val="left"/>
              <w:rPr>
                <w:rFonts w:ascii="Times New Roman" w:hAnsi="Times New Roman" w:cs="Times New Roman" w:eastAsiaTheme="minorEastAsia"/>
                <w:color w:val="000000"/>
              </w:rPr>
            </w:pPr>
            <w:r>
              <w:rPr>
                <w:rFonts w:ascii="Times New Roman" w:hAnsi="Times New Roman" w:cs="Times New Roman"/>
                <w:color w:val="000000"/>
              </w:rPr>
              <w:t>Environmental Microbiology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49"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LXTY4211102030</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环境毒理学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Environmental Toxicology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3</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49"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ENSE3211102016</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环境化学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Environmental Chemistry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3</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49"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rPr>
              <w:t>ME003211202012</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现代环境监测技术</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Modern Environmental Monitoring Technology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3</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49"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ME003211202005</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大气污染控制理论与技术</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Air Pollution Control Theories and Technologies</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49"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ME003211202010</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水污染控制工程</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Water Pollution Control Engineering</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49"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ME003211202035</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固体废弃物处理与处置</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Treatment and Resource Usage of Waste Solids</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49"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LXTY4211102029</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环境分析化学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Environmental and Analytical Chemistry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49"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LXTY4211102036</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河口海岸学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Estuarine and Coastal Science</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49"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LXTY4211102035</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河口海岸前沿技术</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Instruments and Operation Skills</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49"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LXTY4211102037</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河口海岸研究进展</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Progress in Estuarine and Coastal Science</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49" w:hRule="atLeast"/>
          <w:jc w:val="center"/>
        </w:trPr>
        <w:tc>
          <w:tcPr>
            <w:tcW w:w="892" w:type="dxa"/>
            <w:vMerge w:val="continue"/>
            <w:tcBorders>
              <w:left w:val="single" w:color="auto" w:sz="4" w:space="0"/>
              <w:bottom w:val="single" w:color="auto" w:sz="4" w:space="0"/>
              <w:right w:val="single" w:color="auto" w:sz="6" w:space="0"/>
            </w:tcBorders>
            <w:vAlign w:val="center"/>
          </w:tcPr>
          <w:p>
            <w:pPr>
              <w:jc w:val="center"/>
              <w:rPr>
                <w:rFonts w:ascii="Times New Roman" w:hAnsi="Times New Roman" w:cs="Times New Roman"/>
                <w:szCs w:val="21"/>
              </w:rPr>
            </w:pPr>
          </w:p>
        </w:tc>
        <w:tc>
          <w:tcPr>
            <w:tcW w:w="8623" w:type="dxa"/>
            <w:gridSpan w:val="5"/>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r>
              <w:rPr>
                <w:rFonts w:ascii="Times New Roman" w:hAnsi="Times New Roman" w:cs="Times New Roman"/>
                <w:b/>
                <w:sz w:val="18"/>
                <w:szCs w:val="18"/>
              </w:rPr>
              <w:t>学分要求</w:t>
            </w:r>
            <w:r>
              <w:rPr>
                <w:rFonts w:ascii="Times New Roman" w:hAnsi="Times New Roman" w:cs="Times New Roman"/>
                <w:sz w:val="18"/>
                <w:szCs w:val="18"/>
              </w:rPr>
              <w:t>：≥5学分</w:t>
            </w:r>
          </w:p>
        </w:tc>
      </w:tr>
      <w:tr>
        <w:tblPrEx>
          <w:tblCellMar>
            <w:top w:w="0" w:type="dxa"/>
            <w:left w:w="108" w:type="dxa"/>
            <w:bottom w:w="0" w:type="dxa"/>
            <w:right w:w="108" w:type="dxa"/>
          </w:tblCellMar>
        </w:tblPrEx>
        <w:trPr>
          <w:trHeight w:val="434" w:hRule="atLeast"/>
          <w:jc w:val="center"/>
        </w:trPr>
        <w:tc>
          <w:tcPr>
            <w:tcW w:w="892" w:type="dxa"/>
            <w:vMerge w:val="restart"/>
            <w:tcBorders>
              <w:top w:val="single" w:color="auto" w:sz="4" w:space="0"/>
              <w:left w:val="single" w:color="auto" w:sz="4"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b/>
                <w:szCs w:val="21"/>
              </w:rPr>
              <w:t>学位专业课（选修）</w:t>
            </w:r>
          </w:p>
          <w:p>
            <w:pPr>
              <w:jc w:val="center"/>
              <w:rPr>
                <w:rFonts w:ascii="Times New Roman" w:hAnsi="Times New Roman" w:cs="Times New Roman"/>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ENSE3211102023</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河流健康与流域管理</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River Health and River Basin Management</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ENSE3211102004</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城市水资源管理与低影响开发响应</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Urban Water Resource Management and its  Response to Low Impact Development</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ENSE3211102050</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环境生理学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Environmental Physiology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ENSE3221102001</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生物质能源的开发与利用</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Development and Utilization of Biomass Energy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ENSE3211102014</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生态毒理学原理与方法</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Fundamentals and Methods of Ecotoxicology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ENSE3211102033</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水的物化处理技术</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Physiochemical Water Treatment</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CHEM3011102026</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近代电化学分析</w:t>
            </w:r>
          </w:p>
          <w:p>
            <w:pPr>
              <w:pStyle w:val="39"/>
              <w:jc w:val="left"/>
              <w:rPr>
                <w:rFonts w:ascii="Times New Roman" w:hAnsi="Times New Roman" w:cs="Times New Roman" w:eastAsiaTheme="minorEastAsia"/>
                <w:color w:val="000000"/>
              </w:rPr>
            </w:pPr>
            <w:bookmarkStart w:id="0" w:name="OLE_LINK9"/>
            <w:r>
              <w:rPr>
                <w:rFonts w:ascii="Times New Roman" w:hAnsi="Times New Roman" w:cs="Times New Roman" w:eastAsiaTheme="minorEastAsia"/>
                <w:color w:val="000000"/>
              </w:rPr>
              <w:t>Advanced Electrochemistry and Electroanalysis</w:t>
            </w:r>
            <w:bookmarkEnd w:id="0"/>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3</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CHEM3011102061</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光学分析与成像</w:t>
            </w:r>
          </w:p>
          <w:p>
            <w:pPr>
              <w:pStyle w:val="39"/>
              <w:jc w:val="left"/>
              <w:rPr>
                <w:rFonts w:ascii="Times New Roman" w:hAnsi="Times New Roman" w:cs="Times New Roman" w:eastAsiaTheme="minorEastAsia"/>
                <w:color w:val="000000"/>
              </w:rPr>
            </w:pPr>
            <w:bookmarkStart w:id="1" w:name="OLE_LINK2"/>
            <w:r>
              <w:rPr>
                <w:rFonts w:ascii="Times New Roman" w:hAnsi="Times New Roman" w:cs="Times New Roman" w:eastAsiaTheme="minorEastAsia"/>
                <w:color w:val="000000"/>
              </w:rPr>
              <w:t>Advanced Optical Instrumental Analysis</w:t>
            </w:r>
            <w:bookmarkEnd w:id="1"/>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3</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ENSE3211102047</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环境纳米科学与技术研究前沿</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Frontiers of Environmental Nano Science and Technology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ENSE3211102048</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水环境治理与修复的理论与工程实践</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Theories and Engineering of Water Environment Treatment and Restoration</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ME003211202032</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环境工程CAD设计</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Environmental Engineering and CAD</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ECOL3211102022</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MATLAB编程基础与应用</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Basic Programming and Application of MATLAB</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ECOL3211102019</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生态环境遥感（刘敏）</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Ecological Environment Remote Sensing</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ENSE3211102040</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废水处理运行管理</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Regulation and Management of Wastewater Biological Treatment Systems</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ENSE3211102046</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环境生物技术</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Environmental Biotechnology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ME003211202013</w:t>
            </w:r>
          </w:p>
          <w:p>
            <w:pPr>
              <w:pStyle w:val="39"/>
              <w:jc w:val="center"/>
              <w:rPr>
                <w:rFonts w:ascii="Times New Roman" w:hAnsi="Times New Roman" w:cs="Times New Roman"/>
                <w:color w:val="000000"/>
              </w:rPr>
            </w:pP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环境治理与修复技术</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Treatment and Remediation of Contaminated Environment</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3</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ENSE3211102044</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环保机械与设备</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Mechanic and Equipment in Environmental Protection</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ENSE3211102041</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废水高级生化处理</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Advanced Biological Wastewater Treatment</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ENSE3211102045</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环境分子生物学技术</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Environmental Molecular Biological Technology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ENSE3211102043</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河流污染治理与修复-技术与案例</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The River Pollution Control and Remediation of Research</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ENSE3211102031</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污水污泥处理与处置工程</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Sewage Sludge Treatment and Disposal</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ENSE3211102038</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水处理电化学原理与技术</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Electrochemical Principles and Technology of Water Treatment Technology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3</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MNSC4211102013</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生物海洋学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Biological Oceanography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MNSC4211102011</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物理海洋学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Physical Oceanography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LXTY4211102021</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高等仪器</w:t>
            </w:r>
            <w:r>
              <w:rPr>
                <w:rFonts w:hint="eastAsia" w:ascii="Times New Roman" w:hAnsi="Times New Roman" w:cs="Times New Roman" w:eastAsiaTheme="minorEastAsia"/>
                <w:color w:val="000000"/>
              </w:rPr>
              <w:t>分析</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The Advanced Instrumental Analysis</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LXTY4211102001</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生态学基础</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Fundamentals of Ecology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LXTY4211102011</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同位素示踪技术</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Technology of Isotope Tracer</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GEOG4211102002</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河口海岸遥感</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Remote Sensing in Estuarine and Coasts</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MNSC4221102006</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河口海岸湿地生态</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Estuarine and Coastal Wetlands Ecology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1</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MNSC4221102007</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近海海洋化学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Maine Chemistry in Coast Sea</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1</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GEOG4211102003</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自然地理学前沿</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Frontier of Physical Geography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ENSE3211102055</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rPr>
            </w:pPr>
            <w:r>
              <w:rPr>
                <w:rFonts w:hint="eastAsia" w:ascii="Times New Roman" w:hAnsi="Times New Roman" w:cs="Times New Roman" w:eastAsiaTheme="minorEastAsia"/>
              </w:rPr>
              <w:t>环境微生物基因组学与生信技术</w:t>
            </w:r>
          </w:p>
          <w:p>
            <w:pPr>
              <w:pStyle w:val="39"/>
              <w:jc w:val="left"/>
              <w:rPr>
                <w:rFonts w:ascii="Times New Roman" w:hAnsi="Times New Roman" w:cs="Times New Roman" w:eastAsiaTheme="minorEastAsia"/>
              </w:rPr>
            </w:pPr>
            <w:r>
              <w:rPr>
                <w:rFonts w:ascii="Times New Roman" w:hAnsi="Times New Roman" w:cs="Times New Roman" w:eastAsiaTheme="minorEastAsia"/>
              </w:rPr>
              <w:t>Environmental microbial metagenomics and bioinformatic technologies</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rPr>
            </w:pPr>
            <w:r>
              <w:rPr>
                <w:rFonts w:hint="eastAsia" w:ascii="Times New Roman" w:hAnsi="Times New Roman" w:cs="Times New Roman"/>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hint="eastAsia"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ENSE3211102056</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rPr>
            </w:pPr>
            <w:r>
              <w:rPr>
                <w:rFonts w:hint="eastAsia" w:ascii="Times New Roman" w:hAnsi="Times New Roman" w:cs="Times New Roman" w:eastAsiaTheme="minorEastAsia"/>
              </w:rPr>
              <w:t>环境有机质谱</w:t>
            </w:r>
          </w:p>
          <w:p>
            <w:pPr>
              <w:pStyle w:val="39"/>
              <w:jc w:val="left"/>
              <w:rPr>
                <w:rFonts w:ascii="Times New Roman" w:hAnsi="Times New Roman" w:cs="Times New Roman" w:eastAsiaTheme="minorEastAsia"/>
              </w:rPr>
            </w:pPr>
            <w:r>
              <w:rPr>
                <w:rFonts w:ascii="Times New Roman" w:hAnsi="Times New Roman" w:cs="Times New Roman" w:eastAsiaTheme="minorEastAsia"/>
              </w:rPr>
              <w:t>Environmental Organic Mass Spectrometry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rPr>
            </w:pPr>
            <w:r>
              <w:rPr>
                <w:rFonts w:hint="eastAsia" w:ascii="Times New Roman" w:hAnsi="Times New Roman" w:cs="Times New Roman"/>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hint="eastAsia" w:ascii="Times New Roman" w:hAnsi="Times New Roman" w:cs="Times New Roman" w:eastAsiaTheme="minorEastAsia"/>
                <w:color w:val="000000"/>
              </w:rPr>
              <w:t>秋</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ENSE3211102057</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rPr>
            </w:pPr>
            <w:r>
              <w:rPr>
                <w:rFonts w:hint="eastAsia" w:ascii="Times New Roman" w:hAnsi="Times New Roman" w:cs="Times New Roman" w:eastAsiaTheme="minorEastAsia"/>
              </w:rPr>
              <w:t>水污染控制高级氧化技术</w:t>
            </w:r>
          </w:p>
          <w:p>
            <w:pPr>
              <w:pStyle w:val="39"/>
              <w:jc w:val="left"/>
              <w:rPr>
                <w:rFonts w:ascii="Times New Roman" w:hAnsi="Times New Roman" w:cs="Times New Roman" w:eastAsiaTheme="minorEastAsia"/>
              </w:rPr>
            </w:pPr>
            <w:r>
              <w:rPr>
                <w:rFonts w:ascii="Times New Roman" w:hAnsi="Times New Roman" w:cs="Times New Roman" w:eastAsiaTheme="minorEastAsia"/>
              </w:rPr>
              <w:t>Advanced Oxidation Processes for Water Pollution Control</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rPr>
            </w:pPr>
            <w:r>
              <w:rPr>
                <w:rFonts w:hint="eastAsia" w:ascii="Times New Roman" w:hAnsi="Times New Roman" w:cs="Times New Roman"/>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hint="eastAsia"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ENSE3211102053</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rPr>
            </w:pPr>
            <w:r>
              <w:rPr>
                <w:rFonts w:ascii="Times New Roman" w:hAnsi="Times New Roman" w:cs="Times New Roman" w:eastAsiaTheme="minorEastAsia"/>
              </w:rPr>
              <w:t>环境工程微生物学</w:t>
            </w:r>
          </w:p>
          <w:p>
            <w:pPr>
              <w:pStyle w:val="39"/>
              <w:jc w:val="left"/>
              <w:rPr>
                <w:rFonts w:ascii="Times New Roman" w:hAnsi="Times New Roman" w:cs="Times New Roman" w:eastAsiaTheme="minorEastAsia"/>
              </w:rPr>
            </w:pPr>
            <w:r>
              <w:rPr>
                <w:rFonts w:ascii="Times New Roman" w:hAnsi="Times New Roman" w:cs="Times New Roman" w:eastAsiaTheme="minorEastAsia"/>
              </w:rPr>
              <w:t>Environmental Engineering Microbiology</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rPr>
            </w:pPr>
            <w:r>
              <w:rPr>
                <w:rFonts w:hint="eastAsia" w:ascii="Times New Roman" w:hAnsi="Times New Roman" w:cs="Times New Roman"/>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hint="eastAsia"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ENSE3211102059</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rPr>
            </w:pPr>
            <w:r>
              <w:rPr>
                <w:rFonts w:hint="eastAsia" w:ascii="Times New Roman" w:hAnsi="Times New Roman" w:cs="Times New Roman" w:eastAsiaTheme="minorEastAsia"/>
              </w:rPr>
              <w:t>环境管理</w:t>
            </w:r>
            <w:r>
              <w:rPr>
                <w:rFonts w:ascii="Times New Roman" w:hAnsi="Times New Roman" w:cs="Times New Roman" w:eastAsiaTheme="minorEastAsia"/>
              </w:rPr>
              <w:t>研究方法与案例分析</w:t>
            </w:r>
          </w:p>
          <w:p>
            <w:pPr>
              <w:pStyle w:val="39"/>
              <w:jc w:val="left"/>
              <w:rPr>
                <w:rFonts w:ascii="Times New Roman" w:hAnsi="Times New Roman" w:cs="Times New Roman" w:eastAsiaTheme="minorEastAsia"/>
              </w:rPr>
            </w:pPr>
            <w:r>
              <w:rPr>
                <w:rFonts w:ascii="Times New Roman" w:hAnsi="Times New Roman" w:cs="Times New Roman" w:eastAsiaTheme="minorEastAsia"/>
              </w:rPr>
              <w:t>Environmental management methods and case studies</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rPr>
            </w:pPr>
            <w:r>
              <w:rPr>
                <w:rFonts w:hint="eastAsia" w:ascii="Times New Roman" w:hAnsi="Times New Roman" w:cs="Times New Roman"/>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hint="eastAsia"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812" w:type="dxa"/>
            <w:tcBorders>
              <w:top w:val="single" w:color="auto" w:sz="6" w:space="0"/>
              <w:left w:val="single" w:color="auto" w:sz="6" w:space="0"/>
              <w:right w:val="single" w:color="auto" w:sz="6" w:space="0"/>
            </w:tcBorders>
            <w:vAlign w:val="center"/>
          </w:tcPr>
          <w:p>
            <w:pPr>
              <w:pStyle w:val="39"/>
              <w:jc w:val="center"/>
              <w:rPr>
                <w:rFonts w:ascii="Times New Roman" w:hAnsi="Times New Roman" w:cs="Times New Roman"/>
                <w:color w:val="000000"/>
              </w:rPr>
            </w:pPr>
            <w:r>
              <w:rPr>
                <w:rFonts w:ascii="Times New Roman" w:hAnsi="Times New Roman" w:cs="Times New Roman"/>
                <w:color w:val="000000"/>
              </w:rPr>
              <w:t>MRE03211202001</w:t>
            </w:r>
          </w:p>
        </w:tc>
        <w:tc>
          <w:tcPr>
            <w:tcW w:w="447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rPr>
            </w:pPr>
            <w:r>
              <w:rPr>
                <w:rFonts w:hint="eastAsia" w:ascii="Times New Roman" w:hAnsi="Times New Roman" w:cs="Times New Roman" w:eastAsiaTheme="minorEastAsia"/>
              </w:rPr>
              <w:t>数学统计分析与应用</w:t>
            </w:r>
          </w:p>
          <w:p>
            <w:pPr>
              <w:pStyle w:val="39"/>
              <w:jc w:val="left"/>
              <w:rPr>
                <w:rFonts w:ascii="Times New Roman" w:hAnsi="Times New Roman" w:cs="Times New Roman" w:eastAsiaTheme="minorEastAsia"/>
              </w:rPr>
            </w:pPr>
            <w:r>
              <w:rPr>
                <w:rFonts w:ascii="Times New Roman" w:hAnsi="Times New Roman" w:cs="Times New Roman" w:eastAsiaTheme="minorEastAsia"/>
                <w:color w:val="000000"/>
              </w:rPr>
              <w:t>Application for Research Data Processing and Analyses</w:t>
            </w:r>
          </w:p>
        </w:tc>
        <w:tc>
          <w:tcPr>
            <w:tcW w:w="702"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rPr>
            </w:pPr>
            <w:r>
              <w:rPr>
                <w:rFonts w:hint="eastAsia" w:ascii="Times New Roman" w:hAnsi="Times New Roman" w:cs="Times New Roman"/>
              </w:rPr>
              <w:t>2</w:t>
            </w:r>
          </w:p>
        </w:tc>
        <w:tc>
          <w:tcPr>
            <w:tcW w:w="744"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hint="eastAsia" w:ascii="Times New Roman" w:hAnsi="Times New Roman" w:cs="Times New Roman" w:eastAsiaTheme="minorEastAsia"/>
                <w:color w:val="000000"/>
              </w:rPr>
              <w:t>春</w:t>
            </w: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4" w:hRule="atLeast"/>
          <w:jc w:val="center"/>
        </w:trPr>
        <w:tc>
          <w:tcPr>
            <w:tcW w:w="892" w:type="dxa"/>
            <w:vMerge w:val="continue"/>
            <w:tcBorders>
              <w:left w:val="single" w:color="auto" w:sz="4" w:space="0"/>
              <w:bottom w:val="single" w:color="auto" w:sz="4" w:space="0"/>
              <w:right w:val="single" w:color="auto" w:sz="6" w:space="0"/>
            </w:tcBorders>
            <w:vAlign w:val="center"/>
          </w:tcPr>
          <w:p>
            <w:pPr>
              <w:jc w:val="center"/>
              <w:rPr>
                <w:rFonts w:ascii="Times New Roman" w:hAnsi="Times New Roman" w:cs="Times New Roman"/>
                <w:b/>
                <w:szCs w:val="21"/>
              </w:rPr>
            </w:pPr>
          </w:p>
        </w:tc>
        <w:tc>
          <w:tcPr>
            <w:tcW w:w="8623" w:type="dxa"/>
            <w:gridSpan w:val="5"/>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r>
              <w:rPr>
                <w:rFonts w:ascii="Times New Roman" w:hAnsi="Times New Roman" w:cs="Times New Roman"/>
                <w:b/>
                <w:sz w:val="18"/>
                <w:szCs w:val="18"/>
              </w:rPr>
              <w:t>学分要求：</w:t>
            </w:r>
            <w:r>
              <w:rPr>
                <w:rFonts w:ascii="Times New Roman" w:hAnsi="Times New Roman" w:cs="Times New Roman"/>
                <w:sz w:val="18"/>
                <w:szCs w:val="18"/>
              </w:rPr>
              <w:t>≥4学分</w:t>
            </w:r>
          </w:p>
        </w:tc>
      </w:tr>
      <w:tr>
        <w:tblPrEx>
          <w:tblCellMar>
            <w:top w:w="0" w:type="dxa"/>
            <w:left w:w="108" w:type="dxa"/>
            <w:bottom w:w="0" w:type="dxa"/>
            <w:right w:w="108" w:type="dxa"/>
          </w:tblCellMar>
        </w:tblPrEx>
        <w:trPr>
          <w:trHeight w:val="411" w:hRule="atLeast"/>
          <w:jc w:val="center"/>
        </w:trPr>
        <w:tc>
          <w:tcPr>
            <w:tcW w:w="892" w:type="dxa"/>
            <w:vMerge w:val="restart"/>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r>
              <w:rPr>
                <w:rFonts w:ascii="Times New Roman" w:hAnsi="Times New Roman" w:cs="Times New Roman"/>
                <w:b/>
                <w:szCs w:val="21"/>
              </w:rPr>
              <w:t>跨一级学科课程</w:t>
            </w:r>
          </w:p>
        </w:tc>
        <w:tc>
          <w:tcPr>
            <w:tcW w:w="1812" w:type="dxa"/>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sz w:val="18"/>
                <w:szCs w:val="18"/>
              </w:rPr>
            </w:pPr>
          </w:p>
        </w:tc>
        <w:tc>
          <w:tcPr>
            <w:tcW w:w="4479"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 w:val="18"/>
                <w:szCs w:val="18"/>
              </w:rPr>
            </w:pPr>
            <w:r>
              <w:rPr>
                <w:rFonts w:ascii="Times New Roman" w:hAnsi="Times New Roman" w:cs="Times New Roman"/>
                <w:sz w:val="18"/>
                <w:szCs w:val="18"/>
              </w:rPr>
              <w:t>跨一级学科选修课1</w:t>
            </w:r>
          </w:p>
        </w:tc>
        <w:tc>
          <w:tcPr>
            <w:tcW w:w="70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18"/>
                <w:szCs w:val="18"/>
              </w:rPr>
            </w:pPr>
          </w:p>
        </w:tc>
        <w:tc>
          <w:tcPr>
            <w:tcW w:w="74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18"/>
                <w:szCs w:val="18"/>
              </w:rPr>
            </w:pPr>
          </w:p>
        </w:tc>
        <w:tc>
          <w:tcPr>
            <w:tcW w:w="886"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r>
              <w:rPr>
                <w:rFonts w:ascii="Times New Roman" w:hAnsi="Times New Roman" w:cs="Times New Roman"/>
                <w:sz w:val="18"/>
                <w:szCs w:val="18"/>
              </w:rPr>
              <w:t>必选</w:t>
            </w:r>
          </w:p>
        </w:tc>
      </w:tr>
      <w:tr>
        <w:tblPrEx>
          <w:tblCellMar>
            <w:top w:w="0" w:type="dxa"/>
            <w:left w:w="108" w:type="dxa"/>
            <w:bottom w:w="0" w:type="dxa"/>
            <w:right w:w="108" w:type="dxa"/>
          </w:tblCellMar>
        </w:tblPrEx>
        <w:trPr>
          <w:trHeight w:val="838" w:hRule="atLeast"/>
          <w:jc w:val="center"/>
        </w:trPr>
        <w:tc>
          <w:tcPr>
            <w:tcW w:w="892" w:type="dxa"/>
            <w:vMerge w:val="continue"/>
            <w:tcBorders>
              <w:left w:val="single" w:color="auto" w:sz="4" w:space="0"/>
              <w:bottom w:val="single" w:color="auto" w:sz="4" w:space="0"/>
              <w:right w:val="single" w:color="auto" w:sz="6" w:space="0"/>
            </w:tcBorders>
            <w:vAlign w:val="center"/>
          </w:tcPr>
          <w:p>
            <w:pPr>
              <w:jc w:val="center"/>
              <w:rPr>
                <w:rFonts w:ascii="Times New Roman" w:hAnsi="Times New Roman" w:cs="Times New Roman"/>
                <w:b/>
                <w:szCs w:val="21"/>
              </w:rPr>
            </w:pPr>
          </w:p>
        </w:tc>
        <w:tc>
          <w:tcPr>
            <w:tcW w:w="8623" w:type="dxa"/>
            <w:gridSpan w:val="5"/>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r>
              <w:rPr>
                <w:rFonts w:ascii="Times New Roman" w:hAnsi="Times New Roman" w:cs="Times New Roman"/>
                <w:b/>
                <w:sz w:val="18"/>
                <w:szCs w:val="18"/>
              </w:rPr>
              <w:t>学分要求：</w:t>
            </w:r>
            <w:r>
              <w:rPr>
                <w:rFonts w:ascii="Times New Roman" w:hAnsi="Times New Roman" w:cs="Times New Roman"/>
                <w:sz w:val="18"/>
                <w:szCs w:val="18"/>
              </w:rPr>
              <w:t>≥2学分</w:t>
            </w:r>
          </w:p>
        </w:tc>
      </w:tr>
      <w:tr>
        <w:tblPrEx>
          <w:tblCellMar>
            <w:top w:w="0" w:type="dxa"/>
            <w:left w:w="108" w:type="dxa"/>
            <w:bottom w:w="0" w:type="dxa"/>
            <w:right w:w="108" w:type="dxa"/>
          </w:tblCellMar>
        </w:tblPrEx>
        <w:trPr>
          <w:trHeight w:val="928" w:hRule="atLeast"/>
          <w:jc w:val="center"/>
        </w:trPr>
        <w:tc>
          <w:tcPr>
            <w:tcW w:w="892" w:type="dxa"/>
            <w:tcBorders>
              <w:left w:val="single" w:color="auto" w:sz="4" w:space="0"/>
              <w:bottom w:val="single" w:color="auto" w:sz="4" w:space="0"/>
              <w:right w:val="single" w:color="auto" w:sz="6" w:space="0"/>
            </w:tcBorders>
            <w:vAlign w:val="center"/>
          </w:tcPr>
          <w:p>
            <w:pPr>
              <w:jc w:val="center"/>
              <w:rPr>
                <w:rFonts w:ascii="Times New Roman" w:hAnsi="Times New Roman" w:cs="Times New Roman"/>
                <w:b/>
                <w:szCs w:val="21"/>
              </w:rPr>
            </w:pPr>
            <w:r>
              <w:rPr>
                <w:rFonts w:ascii="Times New Roman" w:hAnsi="Times New Roman" w:cs="Times New Roman"/>
                <w:b/>
                <w:szCs w:val="21"/>
              </w:rPr>
              <w:t>非学位课程</w:t>
            </w:r>
          </w:p>
        </w:tc>
        <w:tc>
          <w:tcPr>
            <w:tcW w:w="8623" w:type="dxa"/>
            <w:gridSpan w:val="5"/>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r>
              <w:rPr>
                <w:rFonts w:ascii="Times New Roman" w:hAnsi="Times New Roman" w:cs="Times New Roman"/>
                <w:color w:val="000000"/>
                <w:kern w:val="0"/>
                <w:sz w:val="18"/>
                <w:szCs w:val="18"/>
              </w:rPr>
              <w:t>修读培养方案要求以外的课程，如补修本专业本科课程等，不计入培养方案总学分。</w:t>
            </w:r>
          </w:p>
        </w:tc>
      </w:tr>
      <w:tr>
        <w:tblPrEx>
          <w:tblCellMar>
            <w:top w:w="0" w:type="dxa"/>
            <w:left w:w="108" w:type="dxa"/>
            <w:bottom w:w="0" w:type="dxa"/>
            <w:right w:w="108" w:type="dxa"/>
          </w:tblCellMar>
        </w:tblPrEx>
        <w:trPr>
          <w:trHeight w:val="628" w:hRule="atLeast"/>
          <w:jc w:val="center"/>
        </w:trPr>
        <w:tc>
          <w:tcPr>
            <w:tcW w:w="892" w:type="dxa"/>
            <w:tcBorders>
              <w:left w:val="single" w:color="auto" w:sz="4" w:space="0"/>
              <w:bottom w:val="single" w:color="auto" w:sz="4" w:space="0"/>
              <w:right w:val="single" w:color="auto" w:sz="6" w:space="0"/>
            </w:tcBorders>
            <w:vAlign w:val="center"/>
          </w:tcPr>
          <w:p>
            <w:pPr>
              <w:jc w:val="center"/>
              <w:rPr>
                <w:rFonts w:ascii="Times New Roman" w:hAnsi="Times New Roman" w:cs="Times New Roman"/>
                <w:b/>
                <w:szCs w:val="21"/>
              </w:rPr>
            </w:pPr>
            <w:r>
              <w:rPr>
                <w:rFonts w:ascii="Times New Roman" w:hAnsi="Times New Roman" w:cs="Times New Roman"/>
                <w:b/>
                <w:szCs w:val="21"/>
              </w:rPr>
              <w:t>总学分</w:t>
            </w:r>
          </w:p>
        </w:tc>
        <w:tc>
          <w:tcPr>
            <w:tcW w:w="8623" w:type="dxa"/>
            <w:gridSpan w:val="5"/>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color w:val="000000"/>
                <w:kern w:val="0"/>
                <w:sz w:val="18"/>
                <w:szCs w:val="18"/>
              </w:rPr>
            </w:pPr>
            <w:r>
              <w:rPr>
                <w:rFonts w:ascii="Times New Roman" w:hAnsi="Times New Roman" w:cs="Times New Roman"/>
                <w:sz w:val="18"/>
                <w:szCs w:val="18"/>
              </w:rPr>
              <w:t>≥___23___   学分</w:t>
            </w:r>
          </w:p>
        </w:tc>
      </w:tr>
    </w:tbl>
    <w:p>
      <w:pPr>
        <w:spacing w:before="156" w:beforeLines="50" w:after="156" w:afterLines="50"/>
        <w:rPr>
          <w:rFonts w:ascii="Times New Roman" w:hAnsi="Times New Roman" w:eastAsia="黑体" w:cs="Times New Roman"/>
          <w:sz w:val="24"/>
          <w:szCs w:val="24"/>
        </w:rPr>
      </w:pPr>
      <w:r>
        <w:rPr>
          <w:rFonts w:ascii="Times New Roman" w:hAnsi="Times New Roman" w:eastAsia="黑体" w:cs="Times New Roman"/>
          <w:sz w:val="24"/>
          <w:szCs w:val="24"/>
        </w:rPr>
        <w:br w:type="textWrapping" w:clear="all"/>
      </w:r>
      <w:r>
        <w:rPr>
          <w:rFonts w:ascii="Times New Roman" w:hAnsi="Times New Roman" w:eastAsia="黑体" w:cs="Times New Roman"/>
          <w:sz w:val="24"/>
          <w:szCs w:val="24"/>
        </w:rPr>
        <w:t>七、培养环节考核</w:t>
      </w:r>
    </w:p>
    <w:p>
      <w:pPr>
        <w:ind w:firstLine="420" w:firstLineChars="200"/>
        <w:rPr>
          <w:rFonts w:ascii="Times New Roman" w:hAnsi="Times New Roman" w:cs="Times New Roman"/>
          <w:sz w:val="24"/>
          <w:szCs w:val="24"/>
        </w:rPr>
      </w:pPr>
      <w:r>
        <w:rPr>
          <w:rFonts w:ascii="Times New Roman" w:hAnsi="Times New Roman" w:cs="Times New Roman"/>
          <w:szCs w:val="21"/>
        </w:rPr>
        <w:t>硕士研究生培养环节主要包括：基本文献阅读能力考核、开题报告、实践环节和科研训练、学术活动、中期考核，鼓励各院系（学部）开展预答辩，各环节考核时间安排详见下表</w:t>
      </w:r>
      <w:r>
        <w:rPr>
          <w:rFonts w:hint="eastAsia" w:ascii="Times New Roman" w:hAnsi="Times New Roman" w:cs="Times New Roman"/>
          <w:szCs w:val="21"/>
        </w:rPr>
        <w:t>，</w:t>
      </w:r>
      <w:r>
        <w:rPr>
          <w:rFonts w:ascii="Times New Roman" w:hAnsi="Times New Roman" w:cs="Times New Roman"/>
          <w:szCs w:val="21"/>
        </w:rPr>
        <w:t>各院系可结合自身情况适当调整各环节考核时间和考核方式：</w:t>
      </w:r>
    </w:p>
    <w:tbl>
      <w:tblPr>
        <w:tblStyle w:val="15"/>
        <w:tblpPr w:leftFromText="180" w:rightFromText="180" w:vertAnchor="text" w:horzAnchor="margin" w:tblpXSpec="center" w:tblpY="227"/>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013"/>
        <w:gridCol w:w="1040"/>
        <w:gridCol w:w="1234"/>
        <w:gridCol w:w="1102"/>
        <w:gridCol w:w="1770"/>
        <w:gridCol w:w="1101"/>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27"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vAlign w:val="center"/>
          </w:tcPr>
          <w:p>
            <w:pPr>
              <w:pStyle w:val="39"/>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pPr>
            <w: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t>学期</w:t>
            </w:r>
          </w:p>
        </w:tc>
        <w:tc>
          <w:tcPr>
            <w:tcW w:w="1013"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vAlign w:val="center"/>
          </w:tcPr>
          <w:p>
            <w:pPr>
              <w:pStyle w:val="39"/>
              <w:jc w:val="cente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pPr>
            <w: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t>零</w:t>
            </w:r>
          </w:p>
        </w:tc>
        <w:tc>
          <w:tcPr>
            <w:tcW w:w="1040"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tcPr>
          <w:p>
            <w:pPr>
              <w:pStyle w:val="39"/>
              <w:jc w:val="cente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pPr>
          </w:p>
          <w:p>
            <w:pPr>
              <w:pStyle w:val="39"/>
              <w:jc w:val="cente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pPr>
            <w: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t>一</w:t>
            </w:r>
          </w:p>
        </w:tc>
        <w:tc>
          <w:tcPr>
            <w:tcW w:w="1234"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vAlign w:val="center"/>
          </w:tcPr>
          <w:p>
            <w:pPr>
              <w:pStyle w:val="39"/>
              <w:jc w:val="cente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pPr>
            <w: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t>二</w:t>
            </w:r>
          </w:p>
        </w:tc>
        <w:tc>
          <w:tcPr>
            <w:tcW w:w="1102"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vAlign w:val="center"/>
          </w:tcPr>
          <w:p>
            <w:pPr>
              <w:pStyle w:val="39"/>
              <w:jc w:val="cente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pPr>
            <w: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t>三</w:t>
            </w:r>
          </w:p>
        </w:tc>
        <w:tc>
          <w:tcPr>
            <w:tcW w:w="1770"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vAlign w:val="center"/>
          </w:tcPr>
          <w:p>
            <w:pPr>
              <w:pStyle w:val="39"/>
              <w:jc w:val="cente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pPr>
            <w: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t>四</w:t>
            </w:r>
          </w:p>
        </w:tc>
        <w:tc>
          <w:tcPr>
            <w:tcW w:w="1101"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vAlign w:val="center"/>
          </w:tcPr>
          <w:p>
            <w:pPr>
              <w:pStyle w:val="39"/>
              <w:jc w:val="cente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pPr>
            <w: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t>五</w:t>
            </w:r>
          </w:p>
        </w:tc>
        <w:tc>
          <w:tcPr>
            <w:tcW w:w="1771"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vAlign w:val="center"/>
          </w:tcPr>
          <w:p>
            <w:pPr>
              <w:pStyle w:val="39"/>
              <w:jc w:val="cente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pPr>
            <w:r>
              <w:rPr>
                <w:rFonts w:ascii="Times New Roman" w:hAnsi="Times New Roman" w:cs="Times New Roman" w:eastAsiaTheme="minorEastAsia"/>
                <w:color w:val="0D0D0D" w:themeColor="text1" w:themeTint="F2"/>
                <w14:textFill>
                  <w14:solidFill>
                    <w14:schemeClr w14:val="tx1">
                      <w14:lumMod w14:val="95000"/>
                      <w14:lumOff w14:val="5000"/>
                    </w14:schemeClr>
                  </w14:solidFill>
                </w14:textFill>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2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硕士</w:t>
            </w:r>
          </w:p>
        </w:tc>
        <w:tc>
          <w:tcPr>
            <w:tcW w:w="1013"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优秀本科生修读研究生阶段课程</w:t>
            </w:r>
          </w:p>
        </w:tc>
        <w:tc>
          <w:tcPr>
            <w:tcW w:w="1040" w:type="dxa"/>
            <w:tcBorders>
              <w:top w:val="single" w:color="4472C4" w:sz="2" w:space="0"/>
              <w:left w:val="single" w:color="4472C4" w:sz="2" w:space="0"/>
              <w:bottom w:val="single" w:color="4472C4" w:sz="2" w:space="0"/>
              <w:right w:val="single" w:color="4472C4" w:sz="2" w:space="0"/>
            </w:tcBorders>
            <w:shd w:val="clear" w:color="auto" w:fill="FFFFFF"/>
          </w:tcPr>
          <w:p>
            <w:pPr>
              <w:pStyle w:val="39"/>
              <w:jc w:val="center"/>
              <w:rPr>
                <w:rFonts w:ascii="Times New Roman" w:hAnsi="Times New Roman" w:cs="Times New Roman" w:eastAsiaTheme="minorEastAsia"/>
                <w:color w:val="000000"/>
              </w:rPr>
            </w:pPr>
          </w:p>
        </w:tc>
        <w:tc>
          <w:tcPr>
            <w:tcW w:w="1234"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39"/>
              <w:jc w:val="center"/>
              <w:rPr>
                <w:rFonts w:ascii="Times New Roman" w:hAnsi="Times New Roman" w:cs="Times New Roman" w:eastAsiaTheme="minorEastAsia"/>
                <w:color w:val="000000"/>
              </w:rPr>
            </w:pPr>
          </w:p>
        </w:tc>
        <w:tc>
          <w:tcPr>
            <w:tcW w:w="3973" w:type="dxa"/>
            <w:gridSpan w:val="3"/>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基本文献阅读能力考核</w:t>
            </w:r>
          </w:p>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开题报告</w:t>
            </w:r>
          </w:p>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学术活动</w:t>
            </w:r>
          </w:p>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实践环节</w:t>
            </w:r>
          </w:p>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中期考核</w:t>
            </w:r>
          </w:p>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鼓励开展预答辩</w:t>
            </w:r>
          </w:p>
        </w:tc>
        <w:tc>
          <w:tcPr>
            <w:tcW w:w="177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2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39"/>
              <w:rPr>
                <w:rFonts w:ascii="Times New Roman" w:hAnsi="Times New Roman" w:cs="Times New Roman" w:eastAsiaTheme="minorEastAsia"/>
                <w:color w:val="000000"/>
              </w:rPr>
            </w:pPr>
          </w:p>
        </w:tc>
        <w:tc>
          <w:tcPr>
            <w:tcW w:w="9031" w:type="dxa"/>
            <w:gridSpan w:val="7"/>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科研训练贯彻始终</w:t>
            </w:r>
          </w:p>
        </w:tc>
      </w:tr>
    </w:tbl>
    <w:p>
      <w:pPr>
        <w:rPr>
          <w:rFonts w:ascii="Times New Roman" w:hAnsi="Times New Roman" w:eastAsia="黑体" w:cs="Times New Roman"/>
          <w:sz w:val="24"/>
          <w:szCs w:val="24"/>
        </w:rPr>
      </w:pPr>
    </w:p>
    <w:p>
      <w:pPr>
        <w:spacing w:before="156" w:beforeLines="50" w:after="156" w:afterLines="50"/>
        <w:ind w:firstLine="420" w:firstLineChars="200"/>
        <w:rPr>
          <w:rFonts w:ascii="Times New Roman" w:hAnsi="Times New Roman" w:eastAsia="黑体" w:cs="Times New Roman"/>
          <w:szCs w:val="21"/>
        </w:rPr>
      </w:pPr>
      <w:r>
        <w:rPr>
          <w:rFonts w:ascii="Times New Roman" w:hAnsi="Times New Roman" w:eastAsia="黑体" w:cs="Times New Roman"/>
          <w:szCs w:val="21"/>
        </w:rPr>
        <w:t>1.基本文献阅读能力</w:t>
      </w:r>
    </w:p>
    <w:p>
      <w:pPr>
        <w:ind w:firstLine="420" w:firstLineChars="200"/>
        <w:rPr>
          <w:rStyle w:val="41"/>
          <w:rFonts w:ascii="Times New Roman" w:hAnsi="Times New Roman" w:cs="Times New Roman" w:eastAsiaTheme="minorEastAsia"/>
        </w:rPr>
      </w:pPr>
      <w:r>
        <w:rPr>
          <w:rFonts w:ascii="Times New Roman" w:hAnsi="Times New Roman" w:cs="Times New Roman"/>
          <w:szCs w:val="21"/>
        </w:rPr>
        <w:t>（1）考核要求</w:t>
      </w:r>
    </w:p>
    <w:p>
      <w:pPr>
        <w:ind w:firstLine="420"/>
        <w:rPr>
          <w:rStyle w:val="41"/>
          <w:rFonts w:ascii="Times New Roman" w:hAnsi="Times New Roman" w:cs="Times New Roman" w:eastAsiaTheme="minorEastAsia"/>
        </w:rPr>
      </w:pPr>
      <w:r>
        <w:rPr>
          <w:rStyle w:val="41"/>
          <w:rFonts w:ascii="Times New Roman" w:hAnsi="Times New Roman" w:cs="Times New Roman" w:eastAsiaTheme="minorEastAsia"/>
        </w:rPr>
        <w:t>基本文献阅读能力训练为培养过程必修环节，作为中期考核的一部分，在第二学年结束前完成。</w:t>
      </w:r>
    </w:p>
    <w:p>
      <w:pPr>
        <w:ind w:firstLine="420"/>
        <w:rPr>
          <w:rFonts w:ascii="Times New Roman" w:hAnsi="Times New Roman" w:cs="Times New Roman"/>
          <w:szCs w:val="21"/>
        </w:rPr>
      </w:pPr>
      <w:r>
        <w:rPr>
          <w:rStyle w:val="41"/>
          <w:rFonts w:ascii="Times New Roman" w:hAnsi="Times New Roman" w:cs="Times New Roman" w:eastAsiaTheme="minorEastAsia"/>
        </w:rPr>
        <w:t>硕士研究生在学期间需完成课程推荐的参考书目阅读（详见“基本文献阅读书目”），以及不少于60篇的文献阅读，并撰写文献综述一篇。导师根据文献综述质量进行评分，并提交给研究生秘书处。</w:t>
      </w:r>
    </w:p>
    <w:p>
      <w:pPr>
        <w:ind w:firstLine="420" w:firstLineChars="200"/>
        <w:rPr>
          <w:rFonts w:ascii="Times New Roman" w:hAnsi="Times New Roman" w:cs="Times New Roman"/>
          <w:szCs w:val="21"/>
        </w:rPr>
      </w:pPr>
      <w:r>
        <w:rPr>
          <w:rFonts w:ascii="Times New Roman" w:hAnsi="Times New Roman" w:cs="Times New Roman"/>
          <w:szCs w:val="21"/>
        </w:rPr>
        <w:t>（2）考核结果及分流说明</w:t>
      </w:r>
    </w:p>
    <w:p>
      <w:pPr>
        <w:ind w:firstLine="420"/>
        <w:rPr>
          <w:rFonts w:ascii="Times New Roman" w:hAnsi="Times New Roman" w:cs="Times New Roman"/>
          <w:szCs w:val="21"/>
        </w:rPr>
      </w:pPr>
      <w:r>
        <w:rPr>
          <w:rStyle w:val="41"/>
          <w:rFonts w:ascii="Times New Roman" w:hAnsi="Times New Roman" w:cs="Times New Roman" w:eastAsiaTheme="minorEastAsia"/>
        </w:rPr>
        <w:t>由研究生导师根据研究生提交的有关报告给出评分（满分</w:t>
      </w:r>
      <w:r>
        <w:rPr>
          <w:rFonts w:ascii="Times New Roman" w:hAnsi="Times New Roman" w:cs="Times New Roman"/>
        </w:rPr>
        <w:t>100分</w:t>
      </w:r>
      <w:r>
        <w:rPr>
          <w:rStyle w:val="41"/>
          <w:rFonts w:ascii="Times New Roman" w:hAnsi="Times New Roman" w:cs="Times New Roman" w:eastAsiaTheme="minorEastAsia"/>
        </w:rPr>
        <w:t>计）。</w:t>
      </w:r>
    </w:p>
    <w:p>
      <w:pPr>
        <w:spacing w:before="156" w:beforeLines="50" w:after="156" w:afterLines="50"/>
        <w:ind w:firstLine="420" w:firstLineChars="200"/>
        <w:rPr>
          <w:rFonts w:ascii="Times New Roman" w:hAnsi="Times New Roman" w:cs="Times New Roman"/>
          <w:b/>
          <w:szCs w:val="21"/>
        </w:rPr>
      </w:pPr>
      <w:r>
        <w:rPr>
          <w:rFonts w:ascii="Times New Roman" w:hAnsi="Times New Roman" w:eastAsia="黑体" w:cs="Times New Roman"/>
          <w:szCs w:val="21"/>
        </w:rPr>
        <w:t>2.开题报告</w:t>
      </w:r>
    </w:p>
    <w:p>
      <w:pPr>
        <w:ind w:firstLine="420" w:firstLineChars="200"/>
        <w:rPr>
          <w:rFonts w:ascii="Times New Roman" w:hAnsi="Times New Roman" w:cs="Times New Roman"/>
          <w:szCs w:val="21"/>
        </w:rPr>
      </w:pPr>
      <w:r>
        <w:rPr>
          <w:rFonts w:ascii="Times New Roman" w:hAnsi="Times New Roman" w:cs="Times New Roman"/>
          <w:szCs w:val="21"/>
        </w:rPr>
        <w:t>（1）准入条件</w:t>
      </w:r>
    </w:p>
    <w:p>
      <w:p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学分修读完成。</w:t>
      </w:r>
    </w:p>
    <w:p>
      <w:p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（2）考核要求</w:t>
      </w:r>
    </w:p>
    <w:p>
      <w:p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开题报告是硕士生确定学位论文选题、开展研究计划、保证论文质量的重要环节，作为中期考核的一部分，于第二学年结束前完成。</w:t>
      </w:r>
    </w:p>
    <w:p>
      <w:p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硕士生开题报告由导师组织考核小组，以汇报答辩的形式开展，至少在二级学科范围内公开进行。考核小组成员不少于3人，由具有硕士生指导资格的、副高级及以上职称的专家组成。属于不同学科交叉培养的硕士生，应聘请所涉及的相关学科专家参加。开题报告的内容应包括文献综述、选题背景及其意义、研究内容、工作特色及难点、预期成果及创新点等。</w:t>
      </w:r>
    </w:p>
    <w:p>
      <w:p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（3）考核结果及分流说明</w:t>
      </w:r>
    </w:p>
    <w:p>
      <w:p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开题报告的考核结果分为通过和不通过。开题结束后，硕士生将开题报告表提交所在院系备案。未通过者，可申请2-3个月后进行第二次开题；两次未通过者（含主动放弃者），按肄业处理。研究过程中，如论文课题出现重大变动的，应重新组织开题。自开题报告通过至申请论文预答辩应不少于1年。</w:t>
      </w:r>
    </w:p>
    <w:p>
      <w:pPr>
        <w:spacing w:before="156" w:beforeLines="50" w:after="156" w:afterLines="50"/>
        <w:ind w:firstLine="420" w:firstLineChars="200"/>
        <w:rPr>
          <w:rFonts w:ascii="Times New Roman" w:hAnsi="Times New Roman" w:cs="Times New Roman"/>
          <w:b/>
          <w:szCs w:val="21"/>
        </w:rPr>
      </w:pPr>
      <w:r>
        <w:rPr>
          <w:rFonts w:ascii="Times New Roman" w:hAnsi="Times New Roman" w:eastAsia="黑体" w:cs="Times New Roman"/>
          <w:szCs w:val="21"/>
        </w:rPr>
        <w:t>3.学术活动</w:t>
      </w:r>
    </w:p>
    <w:p>
      <w:pPr>
        <w:ind w:firstLine="420" w:firstLineChars="200"/>
        <w:rPr>
          <w:rFonts w:ascii="Times New Roman" w:hAnsi="Times New Roman" w:cs="Times New Roman"/>
          <w:szCs w:val="21"/>
        </w:rPr>
      </w:pPr>
      <w:r>
        <w:rPr>
          <w:rFonts w:ascii="Times New Roman" w:hAnsi="Times New Roman" w:cs="Times New Roman"/>
          <w:szCs w:val="21"/>
        </w:rPr>
        <w:t>（1）考核要求</w:t>
      </w:r>
    </w:p>
    <w:p>
      <w:p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硕士研究生学术活动包括各类学术会议、学术讲座和学科竞赛等，作为中期考核的一部分，在第二学年结束前完成。</w:t>
      </w:r>
    </w:p>
    <w:p>
      <w:pPr>
        <w:ind w:firstLine="420" w:firstLineChars="200"/>
        <w:rPr>
          <w:rFonts w:ascii="Times New Roman" w:hAnsi="Times New Roman" w:cs="Times New Roman"/>
          <w:szCs w:val="21"/>
        </w:rPr>
      </w:pPr>
      <w:r>
        <w:rPr>
          <w:rStyle w:val="41"/>
          <w:rFonts w:ascii="Times New Roman" w:hAnsi="Times New Roman" w:cs="Times New Roman" w:eastAsiaTheme="minorEastAsia"/>
        </w:rPr>
        <w:t>硕士生在学期间参加各类学术活动的次数应不少于</w:t>
      </w:r>
      <w:r>
        <w:rPr>
          <w:rFonts w:ascii="Times New Roman" w:hAnsi="Times New Roman" w:cs="Times New Roman"/>
        </w:rPr>
        <w:t>30</w:t>
      </w:r>
      <w:r>
        <w:rPr>
          <w:rStyle w:val="41"/>
          <w:rFonts w:ascii="Times New Roman" w:hAnsi="Times New Roman" w:cs="Times New Roman" w:eastAsiaTheme="minorEastAsia"/>
        </w:rPr>
        <w:t>次。每次活动结束后</w:t>
      </w:r>
      <w:r>
        <w:rPr>
          <w:rFonts w:ascii="Times New Roman" w:hAnsi="Times New Roman" w:cs="Times New Roman"/>
        </w:rPr>
        <w:t>3</w:t>
      </w:r>
      <w:r>
        <w:rPr>
          <w:rStyle w:val="41"/>
          <w:rFonts w:ascii="Times New Roman" w:hAnsi="Times New Roman" w:cs="Times New Roman" w:eastAsiaTheme="minorEastAsia"/>
        </w:rPr>
        <w:t>天内，由硕士生完成网上在线登记。达到要求后，系统生成《华东师范大学研究生学术活动登记表》，并由硕士生送交导师审核评定。</w:t>
      </w:r>
    </w:p>
    <w:p>
      <w:pPr>
        <w:ind w:firstLine="420" w:firstLineChars="200"/>
        <w:rPr>
          <w:rFonts w:ascii="Times New Roman" w:hAnsi="Times New Roman" w:cs="Times New Roman"/>
          <w:szCs w:val="21"/>
        </w:rPr>
      </w:pPr>
      <w:r>
        <w:rPr>
          <w:rFonts w:ascii="Times New Roman" w:hAnsi="Times New Roman" w:cs="Times New Roman"/>
          <w:szCs w:val="21"/>
        </w:rPr>
        <w:t>（2）考核结果及分流说明</w:t>
      </w:r>
    </w:p>
    <w:p>
      <w:p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考核结果分为通过和不通过。未通过者须在三个月内进行第二次考核。第二次仍未通过者，按结业或肄业处理。</w:t>
      </w:r>
    </w:p>
    <w:p>
      <w:pPr>
        <w:spacing w:before="156" w:beforeLines="50" w:after="156" w:afterLines="50"/>
        <w:ind w:firstLine="420" w:firstLineChars="200"/>
        <w:rPr>
          <w:rFonts w:ascii="Times New Roman" w:hAnsi="Times New Roman" w:cs="Times New Roman"/>
          <w:b/>
          <w:szCs w:val="21"/>
        </w:rPr>
      </w:pPr>
      <w:r>
        <w:rPr>
          <w:rFonts w:ascii="Times New Roman" w:hAnsi="Times New Roman" w:eastAsia="黑体" w:cs="Times New Roman"/>
          <w:szCs w:val="21"/>
        </w:rPr>
        <w:t>4.实践环节与科研训练</w:t>
      </w:r>
    </w:p>
    <w:p>
      <w:pPr>
        <w:ind w:firstLine="420" w:firstLineChars="200"/>
        <w:rPr>
          <w:rFonts w:ascii="Times New Roman" w:hAnsi="Times New Roman" w:cs="Times New Roman"/>
          <w:szCs w:val="21"/>
        </w:rPr>
      </w:pPr>
      <w:r>
        <w:rPr>
          <w:rFonts w:ascii="Times New Roman" w:hAnsi="Times New Roman" w:cs="Times New Roman"/>
          <w:szCs w:val="21"/>
        </w:rPr>
        <w:t>（1）考核要求</w:t>
      </w:r>
    </w:p>
    <w:p>
      <w:p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实践环节和科研训练为科研实践，在第二学年结束前完成。</w:t>
      </w:r>
    </w:p>
    <w:p>
      <w:pPr>
        <w:ind w:firstLine="420" w:firstLineChars="200"/>
        <w:rPr>
          <w:rFonts w:ascii="Times New Roman" w:hAnsi="Times New Roman" w:cs="Times New Roman"/>
          <w:szCs w:val="21"/>
        </w:rPr>
      </w:pPr>
      <w:r>
        <w:rPr>
          <w:rStyle w:val="41"/>
          <w:rFonts w:ascii="Times New Roman" w:hAnsi="Times New Roman" w:cs="Times New Roman" w:eastAsiaTheme="minorEastAsia"/>
        </w:rPr>
        <w:t>硕士研究生在导师指导下完成科研实践任务，填写、提交《华东师范大学研究生科研实践考核表》，导师根据研究生参与科研实践的实际表现予以评分（满分</w:t>
      </w:r>
      <w:r>
        <w:rPr>
          <w:rFonts w:ascii="Times New Roman" w:hAnsi="Times New Roman" w:cs="Times New Roman"/>
        </w:rPr>
        <w:t>100</w:t>
      </w:r>
      <w:r>
        <w:rPr>
          <w:rStyle w:val="41"/>
          <w:rFonts w:ascii="Times New Roman" w:hAnsi="Times New Roman" w:cs="Times New Roman" w:eastAsiaTheme="minorEastAsia"/>
        </w:rPr>
        <w:t>分计）。</w:t>
      </w:r>
    </w:p>
    <w:p>
      <w:pPr>
        <w:ind w:firstLine="420" w:firstLineChars="200"/>
        <w:rPr>
          <w:rFonts w:ascii="Times New Roman" w:hAnsi="Times New Roman" w:cs="Times New Roman"/>
          <w:szCs w:val="21"/>
        </w:rPr>
      </w:pPr>
      <w:r>
        <w:rPr>
          <w:rFonts w:ascii="Times New Roman" w:hAnsi="Times New Roman" w:cs="Times New Roman"/>
          <w:szCs w:val="21"/>
        </w:rPr>
        <w:t>（2）考核结果及分流说明</w:t>
      </w:r>
    </w:p>
    <w:p>
      <w:p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由导师评定成绩，并交院系存档，考核结果分为通过和不通过。未通过者须在三个月内进行第二次考核。第二次仍未通过者，按结业或肄业处理。</w:t>
      </w:r>
    </w:p>
    <w:p>
      <w:pPr>
        <w:spacing w:before="156" w:beforeLines="50" w:after="156" w:afterLines="50"/>
        <w:ind w:firstLine="420" w:firstLineChars="200"/>
        <w:rPr>
          <w:rFonts w:ascii="Times New Roman" w:hAnsi="Times New Roman" w:cs="Times New Roman"/>
          <w:b/>
          <w:szCs w:val="21"/>
        </w:rPr>
      </w:pPr>
      <w:r>
        <w:rPr>
          <w:rFonts w:ascii="Times New Roman" w:hAnsi="Times New Roman" w:eastAsia="黑体" w:cs="Times New Roman"/>
          <w:szCs w:val="21"/>
        </w:rPr>
        <w:t>5.中期考核</w:t>
      </w:r>
    </w:p>
    <w:p>
      <w:pPr>
        <w:ind w:firstLine="420" w:firstLineChars="20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rPr>
        <w:t>1</w:t>
      </w:r>
      <w:r>
        <w:rPr>
          <w:rFonts w:ascii="Times New Roman" w:hAnsi="Times New Roman" w:cs="Times New Roman"/>
          <w:szCs w:val="21"/>
        </w:rPr>
        <w:t>）准入条件</w:t>
      </w:r>
    </w:p>
    <w:p>
      <w:p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课程学分修满、开题完成。</w:t>
      </w:r>
    </w:p>
    <w:p>
      <w:pPr>
        <w:ind w:firstLine="420" w:firstLineChars="20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rPr>
        <w:t>2</w:t>
      </w:r>
      <w:r>
        <w:rPr>
          <w:rFonts w:ascii="Times New Roman" w:hAnsi="Times New Roman" w:cs="Times New Roman"/>
          <w:szCs w:val="21"/>
        </w:rPr>
        <w:t>）考核要求</w:t>
      </w:r>
    </w:p>
    <w:p>
      <w:p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硕士研究生中期考核最迟于第</w:t>
      </w:r>
      <w:r>
        <w:rPr>
          <w:rFonts w:ascii="Times New Roman" w:hAnsi="Times New Roman" w:cs="Times New Roman"/>
        </w:rPr>
        <w:t>5</w:t>
      </w:r>
      <w:r>
        <w:rPr>
          <w:rStyle w:val="41"/>
          <w:rFonts w:ascii="Times New Roman" w:hAnsi="Times New Roman" w:cs="Times New Roman" w:eastAsiaTheme="minorEastAsia"/>
        </w:rPr>
        <w:t>学期结束前完成。</w:t>
      </w:r>
    </w:p>
    <w:p>
      <w:pPr>
        <w:ind w:firstLine="420" w:firstLineChars="200"/>
        <w:rPr>
          <w:rFonts w:ascii="Times New Roman" w:hAnsi="Times New Roman" w:cs="Times New Roman"/>
          <w:szCs w:val="21"/>
        </w:rPr>
      </w:pPr>
      <w:r>
        <w:rPr>
          <w:rStyle w:val="41"/>
          <w:rFonts w:ascii="Times New Roman" w:hAnsi="Times New Roman" w:cs="Times New Roman" w:eastAsiaTheme="minorEastAsia"/>
        </w:rPr>
        <w:t>学院组成硕士研究生中期考核小组，成员包括指导教师、导师小组成员、任课教师等。中期考核以审核形式开展，主要包括课程修读、基本文献阅读能力、开题报告、学术活动、实践环节和科研训练等完成情况。</w:t>
      </w:r>
    </w:p>
    <w:p>
      <w:pPr>
        <w:ind w:firstLine="420" w:firstLineChars="20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rPr>
        <w:t>3</w:t>
      </w:r>
      <w:r>
        <w:rPr>
          <w:rFonts w:ascii="Times New Roman" w:hAnsi="Times New Roman" w:cs="Times New Roman"/>
          <w:szCs w:val="21"/>
        </w:rPr>
        <w:t>）考核结果及分流说明</w:t>
      </w:r>
    </w:p>
    <w:p>
      <w:p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以上各环节考核均通过者，中期考核通过，否则为不通过。</w:t>
      </w:r>
    </w:p>
    <w:p>
      <w:pPr>
        <w:ind w:firstLine="420" w:firstLineChars="200"/>
        <w:rPr>
          <w:rFonts w:ascii="Times New Roman" w:hAnsi="Times New Roman" w:cs="Times New Roman"/>
          <w:szCs w:val="21"/>
        </w:rPr>
      </w:pPr>
      <w:r>
        <w:rPr>
          <w:rStyle w:val="41"/>
          <w:rFonts w:ascii="Times New Roman" w:hAnsi="Times New Roman" w:cs="Times New Roman" w:eastAsiaTheme="minorEastAsia"/>
        </w:rPr>
        <w:t>中期考核通过者，方可进入毕业论文预答辩或答辩程序。 不通过者，根据学业进展情况，可作延长学习年限、结业或肄业处理。</w:t>
      </w:r>
    </w:p>
    <w:p>
      <w:pPr>
        <w:spacing w:before="156" w:beforeLines="50" w:after="156" w:afterLines="50"/>
        <w:ind w:firstLine="420" w:firstLineChars="200"/>
        <w:rPr>
          <w:rFonts w:ascii="Times New Roman" w:hAnsi="Times New Roman" w:cs="Times New Roman"/>
          <w:szCs w:val="21"/>
        </w:rPr>
      </w:pPr>
      <w:r>
        <w:rPr>
          <w:rFonts w:ascii="Times New Roman" w:hAnsi="Times New Roman" w:eastAsia="黑体" w:cs="Times New Roman"/>
          <w:szCs w:val="21"/>
        </w:rPr>
        <w:t>6.论文预答辩</w:t>
      </w:r>
    </w:p>
    <w:p>
      <w:pPr>
        <w:tabs>
          <w:tab w:val="left" w:pos="3072"/>
        </w:tabs>
        <w:ind w:firstLine="420" w:firstLineChars="200"/>
        <w:rPr>
          <w:rFonts w:ascii="Times New Roman" w:hAnsi="Times New Roman" w:cs="Times New Roman"/>
          <w:szCs w:val="21"/>
        </w:rPr>
      </w:pPr>
      <w:r>
        <w:rPr>
          <w:rFonts w:ascii="Times New Roman" w:hAnsi="Times New Roman" w:cs="Times New Roman"/>
          <w:szCs w:val="21"/>
        </w:rPr>
        <w:t>（1）准入条件</w:t>
      </w:r>
    </w:p>
    <w:p>
      <w:pPr>
        <w:pStyle w:val="40"/>
        <w:ind w:left="454"/>
        <w:jc w:val="both"/>
        <w:rPr>
          <w:rFonts w:ascii="Times New Roman" w:hAnsi="Times New Roman" w:cs="Times New Roman"/>
          <w:szCs w:val="21"/>
        </w:rPr>
      </w:pPr>
      <w:r>
        <w:rPr>
          <w:rStyle w:val="41"/>
          <w:rFonts w:ascii="Times New Roman" w:hAnsi="Times New Roman" w:cs="Times New Roman" w:eastAsiaTheme="minorEastAsia"/>
        </w:rPr>
        <w:t>通过中期考核的研究生在完成学位论文初稿并通过导师或指导小组成员审阅后可参加预答辩。</w:t>
      </w:r>
      <w:r>
        <w:rPr>
          <w:rFonts w:ascii="Times New Roman" w:hAnsi="Times New Roman" w:cs="Times New Roman"/>
          <w:szCs w:val="21"/>
        </w:rPr>
        <w:tab/>
      </w:r>
    </w:p>
    <w:p>
      <w:pPr>
        <w:ind w:firstLine="420" w:firstLineChars="200"/>
        <w:rPr>
          <w:rFonts w:ascii="Times New Roman" w:hAnsi="Times New Roman" w:cs="Times New Roman"/>
          <w:szCs w:val="21"/>
        </w:rPr>
      </w:pPr>
      <w:r>
        <w:rPr>
          <w:rFonts w:ascii="Times New Roman" w:hAnsi="Times New Roman" w:cs="Times New Roman"/>
          <w:szCs w:val="21"/>
        </w:rPr>
        <w:t>（2）考核要求</w:t>
      </w:r>
    </w:p>
    <w:p>
      <w:pPr>
        <w:ind w:firstLine="420" w:firstLineChars="200"/>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硕士生需</w:t>
      </w:r>
      <w:r>
        <w:rPr>
          <w:rFonts w:hint="eastAsia" w:ascii="Times New Roman" w:hAnsi="Times New Roman" w:cs="Times New Roman"/>
          <w:color w:val="000000" w:themeColor="text1"/>
          <w:szCs w:val="21"/>
          <w14:textFill>
            <w14:solidFill>
              <w14:schemeClr w14:val="tx1"/>
            </w14:solidFill>
          </w14:textFill>
        </w:rPr>
        <w:t>在学位论文评阅盲审前一个月</w:t>
      </w:r>
      <w:r>
        <w:rPr>
          <w:rFonts w:ascii="Times New Roman" w:hAnsi="Times New Roman" w:cs="Times New Roman"/>
          <w:color w:val="000000" w:themeColor="text1"/>
          <w:szCs w:val="21"/>
          <w14:textFill>
            <w14:solidFill>
              <w14:schemeClr w14:val="tx1"/>
            </w14:solidFill>
          </w14:textFill>
        </w:rPr>
        <w:t>通过</w:t>
      </w:r>
      <w:r>
        <w:rPr>
          <w:rFonts w:hint="eastAsia" w:ascii="Times New Roman" w:hAnsi="Times New Roman" w:cs="Times New Roman"/>
          <w:color w:val="000000" w:themeColor="text1"/>
          <w:szCs w:val="21"/>
          <w14:textFill>
            <w14:solidFill>
              <w14:schemeClr w14:val="tx1"/>
            </w14:solidFill>
          </w14:textFill>
        </w:rPr>
        <w:t>由院系</w:t>
      </w:r>
      <w:r>
        <w:rPr>
          <w:rFonts w:ascii="Times New Roman" w:hAnsi="Times New Roman" w:cs="Times New Roman"/>
          <w:color w:val="000000" w:themeColor="text1"/>
          <w:szCs w:val="21"/>
          <w14:textFill>
            <w14:solidFill>
              <w14:schemeClr w14:val="tx1"/>
            </w14:solidFill>
          </w14:textFill>
        </w:rPr>
        <w:t>或导师及导师小组组织的论文预答辩。</w:t>
      </w:r>
      <w:r>
        <w:rPr>
          <w:rFonts w:hint="eastAsia" w:ascii="Times New Roman" w:hAnsi="Times New Roman" w:cs="Times New Roman"/>
          <w:color w:val="000000" w:themeColor="text1"/>
          <w:szCs w:val="21"/>
          <w14:textFill>
            <w14:solidFill>
              <w14:schemeClr w14:val="tx1"/>
            </w14:solidFill>
          </w14:textFill>
        </w:rPr>
        <w:t>预答辩小组成员由不少于3人、</w:t>
      </w:r>
      <w:r>
        <w:rPr>
          <w:rStyle w:val="41"/>
          <w:rFonts w:ascii="Times New Roman" w:hAnsi="Times New Roman" w:cs="Times New Roman" w:eastAsiaTheme="minorEastAsia"/>
        </w:rPr>
        <w:t>具有硕士生指导资格的、副高级及以上职称的专家组成。预答辩专家对学位论文初稿的创新性、学术水平、立论依据、研究成果、关键性结论等做出评价，并给出具体的修改或完善意见，同时给出预答辩结论。</w:t>
      </w:r>
    </w:p>
    <w:p>
      <w:pPr>
        <w:ind w:firstLine="420" w:firstLineChars="200"/>
        <w:rPr>
          <w:rFonts w:ascii="Times New Roman" w:hAnsi="Times New Roman" w:cs="Times New Roman"/>
          <w:szCs w:val="21"/>
        </w:rPr>
      </w:pPr>
      <w:r>
        <w:rPr>
          <w:rFonts w:ascii="Times New Roman" w:hAnsi="Times New Roman" w:cs="Times New Roman"/>
          <w:szCs w:val="21"/>
        </w:rPr>
        <w:t>（3）考核结果及分流说明</w:t>
      </w:r>
    </w:p>
    <w:p>
      <w:pPr>
        <w:ind w:firstLine="420" w:firstLineChars="200"/>
        <w:rPr>
          <w:rFonts w:ascii="Times New Roman" w:hAnsi="Times New Roman" w:cs="Times New Roman"/>
          <w:szCs w:val="21"/>
        </w:rPr>
      </w:pPr>
      <w:r>
        <w:rPr>
          <w:rStyle w:val="41"/>
          <w:rFonts w:ascii="Times New Roman" w:hAnsi="Times New Roman" w:cs="Times New Roman" w:eastAsiaTheme="minorEastAsia"/>
        </w:rPr>
        <w:t>预答辩结论分为合格、基本合格和不合格。预答辩合格者，以及基本合格但修改后经导师同意者，可进入论文评阅、答辩等后续环节。预答辩不合格者，硕士生根据预答辩小组意见，全面修改论文，经导师审阅同意后，重新进行预答辩。</w:t>
      </w:r>
    </w:p>
    <w:p>
      <w:pPr>
        <w:spacing w:before="156" w:beforeLines="50" w:after="156" w:afterLines="50"/>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 xml:space="preserve">八、创新成果考核 </w:t>
      </w:r>
    </w:p>
    <w:p>
      <w:pPr>
        <w:ind w:firstLine="420" w:firstLineChars="200"/>
        <w:rPr>
          <w:rStyle w:val="41"/>
          <w:rFonts w:ascii="Times New Roman" w:hAnsi="Times New Roman" w:eastAsia="宋体" w:cs="Times New Roman"/>
        </w:rPr>
      </w:pPr>
      <w:r>
        <w:rPr>
          <w:rFonts w:ascii="Times New Roman" w:hAnsi="Times New Roman" w:cs="Times New Roman"/>
          <w:szCs w:val="21"/>
        </w:rPr>
        <w:t xml:space="preserve"> </w:t>
      </w:r>
      <w:r>
        <w:rPr>
          <w:rStyle w:val="41"/>
          <w:rFonts w:ascii="Times New Roman" w:hAnsi="Times New Roman" w:eastAsia="宋体" w:cs="Times New Roman"/>
        </w:rPr>
        <w:t>硕士生需至少满足以下科研成果要求，方可提出学位申请。各院系可额外提出不低于本办法的科研要求。</w:t>
      </w:r>
    </w:p>
    <w:p>
      <w:pPr>
        <w:ind w:firstLine="420" w:firstLineChars="200"/>
        <w:rPr>
          <w:rFonts w:ascii="Times New Roman" w:hAnsi="Times New Roman" w:eastAsia="宋体" w:cs="Times New Roman"/>
          <w:szCs w:val="21"/>
        </w:rPr>
      </w:pPr>
      <w:r>
        <w:rPr>
          <w:rStyle w:val="41"/>
          <w:rFonts w:ascii="Times New Roman" w:hAnsi="Times New Roman" w:eastAsia="宋体" w:cs="Times New Roman"/>
        </w:rPr>
        <w:t>在学期间至少在SCI/SCIE/SSCI/CSCD（中国科学引文数据库，含扩展版期刊，不含增刊）上发表（或在线发表，核心期刊含录用）论文1篇及以上，或有公开发表的授权专利、标准、著作、报告、政策建议、奖励等其它达到同等学术水平的科研成果。上述论文中，第一作者单位和通讯作者第一署名单位须为华东师范大学。</w:t>
      </w:r>
    </w:p>
    <w:p>
      <w:pPr>
        <w:spacing w:before="156" w:beforeLines="50" w:after="156" w:afterLines="50"/>
        <w:ind w:firstLine="480" w:firstLineChars="200"/>
        <w:rPr>
          <w:rFonts w:ascii="Times New Roman" w:hAnsi="Times New Roman" w:cs="Times New Roman"/>
          <w:szCs w:val="21"/>
        </w:rPr>
      </w:pPr>
      <w:r>
        <w:rPr>
          <w:rFonts w:ascii="Times New Roman" w:hAnsi="Times New Roman" w:eastAsia="黑体" w:cs="Times New Roman"/>
          <w:sz w:val="24"/>
          <w:szCs w:val="24"/>
        </w:rPr>
        <w:t>九、学位论文要求</w:t>
      </w:r>
    </w:p>
    <w:p>
      <w:pPr>
        <w:pStyle w:val="40"/>
        <w:numPr>
          <w:ilvl w:val="0"/>
          <w:numId w:val="1"/>
        </w:numPr>
        <w:ind w:firstLine="420" w:firstLineChars="200"/>
        <w:jc w:val="both"/>
        <w:rPr>
          <w:rStyle w:val="41"/>
          <w:rFonts w:ascii="Times New Roman" w:hAnsi="Times New Roman" w:cs="Times New Roman" w:eastAsiaTheme="minorEastAsia"/>
        </w:rPr>
      </w:pPr>
      <w:r>
        <w:rPr>
          <w:rStyle w:val="41"/>
          <w:rFonts w:ascii="Times New Roman" w:hAnsi="Times New Roman" w:cs="Times New Roman" w:eastAsiaTheme="minorEastAsia"/>
        </w:rPr>
        <w:t xml:space="preserve">学位论文是对硕士生进行科学研究的全面训练，是培养其综合运用所学知识分析问题和解决问题能力的重要环节，也是衡量硕士生学术水平以及能否获得学位的重要依据。 </w:t>
      </w:r>
    </w:p>
    <w:p>
      <w:pPr>
        <w:numPr>
          <w:ilvl w:val="0"/>
          <w:numId w:val="1"/>
        </w:num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硕士生应有不少于1年的时间，在导师和导师组的指导下，进行学位论文相关的科研训练，独立设计和完成某一科研课题，培养独立科研工作能力的过程。硕士学位论文可以是基础研究或应用基础研究，也可以结合科研攻关任务从事应用开发研究，但须有自己的独创性见解或特色。</w:t>
      </w:r>
    </w:p>
    <w:p>
      <w:pPr>
        <w:numPr>
          <w:ilvl w:val="0"/>
          <w:numId w:val="1"/>
        </w:numPr>
        <w:ind w:firstLine="420" w:firstLineChars="200"/>
        <w:rPr>
          <w:rStyle w:val="41"/>
          <w:rFonts w:ascii="Times New Roman" w:hAnsi="Times New Roman" w:cs="Times New Roman" w:eastAsiaTheme="minorEastAsia"/>
        </w:rPr>
      </w:pPr>
      <w:r>
        <w:rPr>
          <w:rStyle w:val="41"/>
          <w:rFonts w:ascii="Times New Roman" w:hAnsi="Times New Roman" w:cs="Times New Roman" w:eastAsiaTheme="minorEastAsia"/>
        </w:rPr>
        <w:t>硕士生学位论文的基本要求、评阅、盲审、答辩，以及学位申请、学位评议与授予，按照《华东师范大学博士、硕士学位论文基本要求》、《华东师范大学学位授予工作细则》的相关规定执行。</w:t>
      </w:r>
    </w:p>
    <w:p>
      <w:pPr>
        <w:numPr>
          <w:ilvl w:val="0"/>
          <w:numId w:val="1"/>
        </w:numPr>
        <w:ind w:firstLine="420" w:firstLineChars="200"/>
        <w:rPr>
          <w:rFonts w:ascii="Times New Roman" w:hAnsi="Times New Roman" w:cs="Times New Roman"/>
          <w:szCs w:val="21"/>
        </w:rPr>
      </w:pPr>
      <w:r>
        <w:rPr>
          <w:rStyle w:val="41"/>
          <w:rFonts w:ascii="Times New Roman" w:hAnsi="Times New Roman" w:cs="Times New Roman" w:eastAsiaTheme="minorEastAsia"/>
        </w:rPr>
        <w:t>留学研究生的学位论文可用汉语、英语撰写和答辩，但必须有详细的中文摘要。</w:t>
      </w:r>
    </w:p>
    <w:p>
      <w:pPr>
        <w:spacing w:before="156" w:beforeLines="50" w:after="156" w:afterLines="50"/>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十、必修课程教材</w:t>
      </w:r>
    </w:p>
    <w:tbl>
      <w:tblPr>
        <w:tblStyle w:val="14"/>
        <w:tblW w:w="0" w:type="auto"/>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7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44" w:type="dxa"/>
          </w:tcPr>
          <w:p>
            <w:pPr>
              <w:spacing w:line="400" w:lineRule="exact"/>
              <w:rPr>
                <w:rFonts w:ascii="Times New Roman" w:hAnsi="Times New Roman" w:cs="Times New Roman"/>
                <w:szCs w:val="21"/>
              </w:rPr>
            </w:pPr>
            <w:r>
              <w:rPr>
                <w:rFonts w:ascii="Times New Roman" w:hAnsi="Times New Roman" w:cs="Times New Roman"/>
                <w:szCs w:val="21"/>
              </w:rPr>
              <w:t>课程名称</w:t>
            </w:r>
          </w:p>
        </w:tc>
        <w:tc>
          <w:tcPr>
            <w:tcW w:w="7451" w:type="dxa"/>
          </w:tcPr>
          <w:p>
            <w:pPr>
              <w:spacing w:line="400" w:lineRule="exact"/>
              <w:rPr>
                <w:rFonts w:ascii="Times New Roman" w:hAnsi="Times New Roman" w:cs="Times New Roman"/>
                <w:szCs w:val="21"/>
              </w:rPr>
            </w:pPr>
            <w:r>
              <w:rPr>
                <w:rFonts w:ascii="Times New Roman" w:hAnsi="Times New Roman" w:cs="Times New Roman"/>
                <w:szCs w:val="21"/>
              </w:rPr>
              <w:t>选用教材（含教材、教学参考书）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4" w:type="dxa"/>
            <w:vAlign w:val="center"/>
          </w:tcPr>
          <w:p>
            <w:pPr>
              <w:pStyle w:val="39"/>
              <w:jc w:val="left"/>
              <w:rPr>
                <w:rFonts w:ascii="Times New Roman" w:hAnsi="Times New Roman" w:cs="Times New Roman"/>
              </w:rPr>
            </w:pPr>
            <w:r>
              <w:rPr>
                <w:rFonts w:ascii="Times New Roman" w:hAnsi="Times New Roman" w:cs="Times New Roman" w:eastAsiaTheme="minorEastAsia"/>
                <w:kern w:val="2"/>
                <w:sz w:val="21"/>
              </w:rPr>
              <w:t>环境土壤学原理</w:t>
            </w:r>
          </w:p>
        </w:tc>
        <w:tc>
          <w:tcPr>
            <w:tcW w:w="7451" w:type="dxa"/>
          </w:tcPr>
          <w:p>
            <w:pPr>
              <w:rPr>
                <w:rFonts w:ascii="Times New Roman" w:hAnsi="Times New Roman" w:cs="Times New Roman"/>
                <w:szCs w:val="21"/>
              </w:rPr>
            </w:pPr>
            <w:r>
              <w:rPr>
                <w:rFonts w:hint="eastAsia" w:ascii="Times New Roman" w:hAnsi="Times New Roman" w:cs="Times New Roman"/>
                <w:szCs w:val="21"/>
              </w:rPr>
              <w:t>教材：</w:t>
            </w:r>
          </w:p>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陈怀满，《环境土壤学》（第三版），科学出版社， 2019.</w:t>
            </w:r>
          </w:p>
          <w:p>
            <w:pP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王红旗，《土壤环境学》，高等教育出版社， 2007.</w:t>
            </w:r>
          </w:p>
          <w:p>
            <w:pPr>
              <w:rPr>
                <w:rFonts w:ascii="Times New Roman" w:hAnsi="Times New Roman" w:cs="Times New Roman"/>
                <w:szCs w:val="21"/>
              </w:rPr>
            </w:pPr>
            <w:r>
              <w:rPr>
                <w:rFonts w:ascii="Times New Roman" w:hAnsi="Times New Roman" w:cs="Times New Roman"/>
                <w:szCs w:val="21"/>
              </w:rPr>
              <w:t>代表性教学参考书</w:t>
            </w:r>
            <w:r>
              <w:rPr>
                <w:rFonts w:hint="eastAsia" w:ascii="Times New Roman" w:hAnsi="Times New Roman" w:cs="Times New Roman"/>
                <w:szCs w:val="21"/>
              </w:rPr>
              <w:t>：</w:t>
            </w:r>
          </w:p>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贾建丽，《环境土壤学》（第二版），化学工业出版社，2016.</w:t>
            </w:r>
          </w:p>
          <w:p>
            <w:pP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崔龙哲，《污染土壤修复技术与应用》，化学工业出版社，2016.</w:t>
            </w:r>
          </w:p>
          <w:p>
            <w:pP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w:t>
            </w:r>
            <w:r>
              <w:rPr>
                <w:rFonts w:hint="eastAsia" w:ascii="Times New Roman" w:hAnsi="Times New Roman" w:cs="Times New Roman"/>
                <w:szCs w:val="21"/>
              </w:rPr>
              <w:t>施维林，《场地土壤修复管理与实践》，科学出版社，2017.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444" w:type="dxa"/>
            <w:vAlign w:val="center"/>
          </w:tcPr>
          <w:p>
            <w:pPr>
              <w:pStyle w:val="39"/>
              <w:jc w:val="left"/>
              <w:rPr>
                <w:rFonts w:ascii="Times New Roman" w:hAnsi="Times New Roman" w:cs="Times New Roman"/>
              </w:rPr>
            </w:pPr>
            <w:r>
              <w:rPr>
                <w:rFonts w:ascii="Times New Roman" w:hAnsi="Times New Roman" w:cs="Times New Roman" w:eastAsiaTheme="minorEastAsia"/>
                <w:kern w:val="2"/>
                <w:sz w:val="21"/>
              </w:rPr>
              <w:t>实验室安全教育</w:t>
            </w:r>
          </w:p>
        </w:tc>
        <w:tc>
          <w:tcPr>
            <w:tcW w:w="7451" w:type="dxa"/>
          </w:tcPr>
          <w:p>
            <w:pPr>
              <w:rPr>
                <w:rFonts w:ascii="Times New Roman" w:hAnsi="Times New Roman" w:cs="Times New Roman"/>
                <w:szCs w:val="21"/>
              </w:rPr>
            </w:pPr>
            <w:r>
              <w:rPr>
                <w:rFonts w:ascii="Times New Roman" w:hAnsi="Times New Roman" w:cs="Times New Roman"/>
                <w:szCs w:val="21"/>
              </w:rPr>
              <w:t>教材：</w:t>
            </w:r>
          </w:p>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邵国成、张春艳主编</w:t>
            </w:r>
            <w:r>
              <w:rPr>
                <w:rFonts w:ascii="Times New Roman" w:hAnsi="Times New Roman" w:cs="Times New Roman"/>
                <w:szCs w:val="21"/>
              </w:rPr>
              <w:t>，</w:t>
            </w:r>
            <w:r>
              <w:rPr>
                <w:rFonts w:hint="eastAsia" w:ascii="Times New Roman" w:hAnsi="Times New Roman" w:cs="Times New Roman"/>
                <w:szCs w:val="21"/>
              </w:rPr>
              <w:t>《实验室安全技术》</w:t>
            </w:r>
            <w:r>
              <w:rPr>
                <w:rFonts w:ascii="Times New Roman" w:hAnsi="Times New Roman" w:cs="Times New Roman"/>
                <w:szCs w:val="21"/>
              </w:rPr>
              <w:t>，</w:t>
            </w:r>
            <w:r>
              <w:rPr>
                <w:rFonts w:hint="eastAsia" w:ascii="Times New Roman" w:hAnsi="Times New Roman" w:cs="Times New Roman"/>
                <w:szCs w:val="21"/>
              </w:rPr>
              <w:t>化学工业出版社，2016.2</w:t>
            </w:r>
          </w:p>
          <w:p>
            <w:pP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江苏省教育厅编印，《高校实验室安全手册》，2019.</w:t>
            </w:r>
            <w:r>
              <w:rPr>
                <w:rFonts w:ascii="Times New Roman" w:hAnsi="Times New Roman" w:cs="Times New Roman"/>
                <w:szCs w:val="21"/>
              </w:rPr>
              <w:t>6.</w:t>
            </w:r>
          </w:p>
          <w:p>
            <w:pPr>
              <w:rPr>
                <w:rFonts w:ascii="Times New Roman" w:hAnsi="Times New Roman" w:cs="Times New Roman"/>
                <w:szCs w:val="21"/>
              </w:rPr>
            </w:pPr>
            <w:r>
              <w:rPr>
                <w:rFonts w:ascii="Times New Roman" w:hAnsi="Times New Roman" w:cs="Times New Roman"/>
                <w:szCs w:val="21"/>
              </w:rPr>
              <w:t>代表性教学参考书：</w:t>
            </w:r>
          </w:p>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.Hazards in the Chemical Laboratory</w:t>
            </w:r>
          </w:p>
          <w:p>
            <w:pPr>
              <w:rPr>
                <w:rFonts w:ascii="Times New Roman" w:hAnsi="Times New Roman" w:cs="Times New Roman"/>
                <w:szCs w:val="21"/>
              </w:rPr>
            </w:pPr>
            <w:r>
              <w:rPr>
                <w:rFonts w:ascii="Times New Roman" w:hAnsi="Times New Roman" w:cs="Times New Roman"/>
                <w:szCs w:val="21"/>
              </w:rPr>
              <w:t>2.Prudent Practices in the Laboratory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444" w:type="dxa"/>
            <w:vAlign w:val="center"/>
          </w:tcPr>
          <w:p>
            <w:pPr>
              <w:pStyle w:val="39"/>
              <w:jc w:val="left"/>
              <w:rPr>
                <w:rFonts w:ascii="Times New Roman" w:hAnsi="Times New Roman" w:cs="Times New Roman"/>
              </w:rPr>
            </w:pPr>
            <w:r>
              <w:rPr>
                <w:rFonts w:ascii="Times New Roman" w:hAnsi="Times New Roman" w:cs="Times New Roman" w:eastAsiaTheme="minorEastAsia"/>
                <w:kern w:val="2"/>
                <w:sz w:val="21"/>
              </w:rPr>
              <w:t>环境微生物学</w:t>
            </w:r>
          </w:p>
          <w:p>
            <w:pPr>
              <w:spacing w:line="400" w:lineRule="exact"/>
              <w:rPr>
                <w:rFonts w:ascii="Times New Roman" w:hAnsi="Times New Roman" w:cs="Times New Roman"/>
                <w:szCs w:val="21"/>
              </w:rPr>
            </w:pPr>
          </w:p>
        </w:tc>
        <w:tc>
          <w:tcPr>
            <w:tcW w:w="7451" w:type="dxa"/>
          </w:tcPr>
          <w:p>
            <w:pPr>
              <w:rPr>
                <w:rFonts w:ascii="Times New Roman" w:hAnsi="Times New Roman" w:eastAsia="宋体" w:cs="Times New Roman"/>
                <w:szCs w:val="21"/>
              </w:rPr>
            </w:pPr>
            <w:r>
              <w:rPr>
                <w:rFonts w:hint="eastAsia" w:ascii="Times New Roman" w:hAnsi="Times New Roman" w:eastAsia="宋体" w:cs="Times New Roman"/>
                <w:szCs w:val="21"/>
              </w:rPr>
              <w:t>教材：</w:t>
            </w:r>
          </w:p>
          <w:p>
            <w:pPr>
              <w:rPr>
                <w:rFonts w:ascii="Times New Roman" w:hAnsi="Times New Roman" w:eastAsia="宋体" w:cs="Times New Roman"/>
                <w:szCs w:val="21"/>
              </w:rPr>
            </w:pPr>
            <w:r>
              <w:rPr>
                <w:rFonts w:hint="eastAsia" w:ascii="Times New Roman" w:hAnsi="Times New Roman" w:eastAsia="宋体" w:cs="Times New Roman"/>
                <w:szCs w:val="21"/>
              </w:rPr>
              <w:t>周群英 王士芬编著，《环境工程微生物学》（第四版），高等教育出版社，北京，2015</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代表性教学参考书：</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王家玲主编，《环境微生物学》（第二版），高等教育出版社，北京，2003</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沈萍主编，《微生物学》，高等教育出版社，北京，2000</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徐亚同、史家樑、张明编著，《污染控制微生物工程》，化学工业出版社，2001</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马文漪，杨柳燕编著，《环境微生物工程》，南京大学出版社，1998</w:t>
            </w: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44" w:type="dxa"/>
            <w:vAlign w:val="center"/>
          </w:tcPr>
          <w:p>
            <w:pPr>
              <w:pStyle w:val="39"/>
              <w:jc w:val="left"/>
              <w:rPr>
                <w:rFonts w:ascii="Times New Roman" w:hAnsi="Times New Roman" w:cs="Times New Roman"/>
              </w:rPr>
            </w:pPr>
            <w:r>
              <w:rPr>
                <w:rFonts w:ascii="Times New Roman" w:hAnsi="Times New Roman" w:cs="Times New Roman" w:eastAsiaTheme="minorEastAsia"/>
                <w:kern w:val="2"/>
                <w:sz w:val="21"/>
              </w:rPr>
              <w:t>环境毒理学</w:t>
            </w:r>
          </w:p>
          <w:p>
            <w:pPr>
              <w:spacing w:line="400" w:lineRule="exact"/>
              <w:rPr>
                <w:rFonts w:ascii="Times New Roman" w:hAnsi="Times New Roman" w:cs="Times New Roman"/>
                <w:szCs w:val="21"/>
              </w:rPr>
            </w:pPr>
          </w:p>
        </w:tc>
        <w:tc>
          <w:tcPr>
            <w:tcW w:w="7451" w:type="dxa"/>
          </w:tcPr>
          <w:p>
            <w:pPr>
              <w:rPr>
                <w:rFonts w:ascii="Times New Roman" w:hAnsi="Times New Roman" w:eastAsia="宋体" w:cs="Times New Roman"/>
                <w:szCs w:val="21"/>
              </w:rPr>
            </w:pPr>
            <w:r>
              <w:rPr>
                <w:rFonts w:hint="eastAsia" w:ascii="Times New Roman" w:hAnsi="Times New Roman" w:eastAsia="宋体" w:cs="Times New Roman"/>
                <w:szCs w:val="21"/>
              </w:rPr>
              <w:t>教材：</w:t>
            </w:r>
          </w:p>
          <w:p>
            <w:pPr>
              <w:rPr>
                <w:rFonts w:ascii="Times New Roman" w:hAnsi="Times New Roman" w:eastAsia="宋体" w:cs="Times New Roman"/>
                <w:szCs w:val="21"/>
              </w:rPr>
            </w:pPr>
            <w:r>
              <w:rPr>
                <w:rFonts w:hint="eastAsia" w:ascii="Times New Roman" w:hAnsi="Times New Roman" w:eastAsia="宋体" w:cs="Times New Roman"/>
                <w:szCs w:val="21"/>
              </w:rPr>
              <w:t>孟紫强，《环境毒理学基础》（第三版），高等出版社.</w:t>
            </w:r>
          </w:p>
          <w:p>
            <w:pPr>
              <w:rPr>
                <w:rFonts w:ascii="Times New Roman" w:hAnsi="Times New Roman" w:eastAsia="宋体" w:cs="Times New Roman"/>
                <w:szCs w:val="21"/>
              </w:rPr>
            </w:pPr>
            <w:r>
              <w:rPr>
                <w:rFonts w:hint="eastAsia" w:ascii="Times New Roman" w:hAnsi="Times New Roman" w:eastAsia="宋体" w:cs="Times New Roman"/>
                <w:szCs w:val="21"/>
              </w:rPr>
              <w:t>代表性教学参考书：</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纽曼(Newman,M.C),昂格尔(Unger,M.A)，《生态毒理学原理》（原著第二版），化学工业出版社.</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Curtis Klaassen, Casarett and Doull's Toxicology: The Basic Science of Poisons，McGraw-Hill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1444" w:type="dxa"/>
            <w:vAlign w:val="center"/>
          </w:tcPr>
          <w:p>
            <w:pPr>
              <w:pStyle w:val="39"/>
              <w:jc w:val="left"/>
              <w:rPr>
                <w:rFonts w:ascii="Times New Roman" w:hAnsi="Times New Roman" w:cs="Times New Roman"/>
              </w:rPr>
            </w:pPr>
            <w:r>
              <w:rPr>
                <w:rFonts w:ascii="Times New Roman" w:hAnsi="Times New Roman" w:cs="Times New Roman" w:eastAsiaTheme="minorEastAsia"/>
                <w:kern w:val="2"/>
                <w:sz w:val="21"/>
              </w:rPr>
              <w:t>环境化学</w:t>
            </w:r>
          </w:p>
          <w:p>
            <w:pPr>
              <w:spacing w:line="400" w:lineRule="exact"/>
              <w:rPr>
                <w:rFonts w:ascii="Times New Roman" w:hAnsi="Times New Roman" w:cs="Times New Roman"/>
                <w:szCs w:val="21"/>
              </w:rPr>
            </w:pPr>
          </w:p>
        </w:tc>
        <w:tc>
          <w:tcPr>
            <w:tcW w:w="7451" w:type="dxa"/>
          </w:tcPr>
          <w:p>
            <w:pPr>
              <w:rPr>
                <w:rFonts w:ascii="Times New Roman" w:hAnsi="Times New Roman" w:eastAsia="宋体" w:cs="Times New Roman"/>
                <w:szCs w:val="21"/>
              </w:rPr>
            </w:pPr>
            <w:r>
              <w:rPr>
                <w:rFonts w:hint="eastAsia" w:ascii="Times New Roman" w:hAnsi="Times New Roman" w:eastAsia="宋体" w:cs="Times New Roman"/>
                <w:szCs w:val="21"/>
              </w:rPr>
              <w:t>教材：</w:t>
            </w:r>
          </w:p>
          <w:p>
            <w:pPr>
              <w:rPr>
                <w:rFonts w:ascii="Times New Roman" w:hAnsi="Times New Roman" w:eastAsia="宋体" w:cs="Times New Roman"/>
                <w:szCs w:val="21"/>
              </w:rPr>
            </w:pPr>
            <w:r>
              <w:rPr>
                <w:rFonts w:hint="eastAsia" w:ascii="Times New Roman" w:hAnsi="Times New Roman" w:eastAsia="宋体" w:cs="Times New Roman"/>
                <w:szCs w:val="21"/>
              </w:rPr>
              <w:t>戴树桂编著（主编），《环境化学》（第2版），高教出版社，2006.</w:t>
            </w:r>
          </w:p>
          <w:p>
            <w:pPr>
              <w:rPr>
                <w:rFonts w:ascii="Times New Roman" w:hAnsi="Times New Roman" w:eastAsia="宋体" w:cs="Times New Roman"/>
                <w:szCs w:val="21"/>
              </w:rPr>
            </w:pPr>
            <w:r>
              <w:rPr>
                <w:rFonts w:hint="eastAsia" w:ascii="Times New Roman" w:hAnsi="Times New Roman" w:eastAsia="宋体" w:cs="Times New Roman"/>
                <w:szCs w:val="21"/>
              </w:rPr>
              <w:t>代表性教学参考书：</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王晓蓉，《环境化学》，科学出版社，2019</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2.Environmental Organic Chemistry, Wiley-Interscience, Schwarzenbach R.P., 2015.</w:t>
            </w:r>
          </w:p>
          <w:p>
            <w:pPr>
              <w:rPr>
                <w:rFonts w:ascii="Times New Roman" w:hAnsi="Times New Roman" w:eastAsia="宋体" w:cs="Times New Roman"/>
                <w:szCs w:val="21"/>
              </w:rPr>
            </w:pPr>
            <w:r>
              <w:rPr>
                <w:rFonts w:ascii="Times New Roman" w:hAnsi="Times New Roman" w:eastAsia="宋体" w:cs="Times New Roman"/>
                <w:szCs w:val="21"/>
              </w:rPr>
              <w:t>3.Patrick Brezonik, William Arnold, Water Chemistry: An Introduction to the Chemistry of Natural and Engineered Aquatic Systems. Oxford University Press, 2011.</w:t>
            </w:r>
          </w:p>
          <w:p>
            <w:pPr>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Manahan T E，Environmental Chemistry (Eighth Edition) ,CRC Press, 2005；</w:t>
            </w:r>
          </w:p>
          <w:p>
            <w:pPr>
              <w:rPr>
                <w:rFonts w:ascii="Times New Roman" w:hAnsi="Times New Roman" w:eastAsia="宋体" w:cs="Times New Roman"/>
                <w:szCs w:val="21"/>
              </w:rPr>
            </w:pPr>
            <w:r>
              <w:rPr>
                <w:rFonts w:ascii="Times New Roman" w:hAnsi="Times New Roman" w:eastAsia="宋体" w:cs="Times New Roman"/>
                <w:szCs w:val="21"/>
              </w:rPr>
              <w:t>5.</w:t>
            </w:r>
            <w:r>
              <w:rPr>
                <w:rFonts w:hint="eastAsia" w:ascii="Times New Roman" w:hAnsi="Times New Roman" w:eastAsia="宋体" w:cs="Times New Roman"/>
                <w:szCs w:val="21"/>
              </w:rPr>
              <w:t>van Loon G W and Duffy S J，Environmental Chemistry-a global perspective (Second Edition) , Oxford University Press, 2005</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6.Patrick Brezonik, William Arnold,Water Chemistry: An Introduction to the Chemistry of Natural and Engineered Aquatic Systems, Oxford University Press, USA, 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1444" w:type="dxa"/>
            <w:vAlign w:val="center"/>
          </w:tcPr>
          <w:p>
            <w:pPr>
              <w:pStyle w:val="39"/>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现代环境监测技术</w:t>
            </w:r>
          </w:p>
        </w:tc>
        <w:tc>
          <w:tcPr>
            <w:tcW w:w="7451" w:type="dxa"/>
          </w:tcPr>
          <w:p>
            <w:pPr>
              <w:rPr>
                <w:rFonts w:ascii="Times New Roman" w:hAnsi="Times New Roman" w:eastAsia="宋体" w:cs="Times New Roman"/>
                <w:szCs w:val="21"/>
              </w:rPr>
            </w:pPr>
            <w:r>
              <w:rPr>
                <w:rFonts w:hint="eastAsia" w:ascii="Times New Roman" w:hAnsi="Times New Roman" w:eastAsia="宋体" w:cs="Times New Roman"/>
                <w:szCs w:val="21"/>
              </w:rPr>
              <w:t>教材：</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刘志广等编著（主编），《仪器分析》（第2版），大连理工大学出版社，2007.</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方禹之编著（主编），《分析科学和分析技术》（第1版），华东师范大学出版社，2002.</w:t>
            </w:r>
          </w:p>
          <w:p>
            <w:pPr>
              <w:rPr>
                <w:rFonts w:ascii="Times New Roman" w:hAnsi="Times New Roman" w:eastAsia="宋体" w:cs="Times New Roman"/>
                <w:szCs w:val="21"/>
              </w:rPr>
            </w:pPr>
            <w:r>
              <w:rPr>
                <w:rFonts w:hint="eastAsia" w:ascii="Times New Roman" w:hAnsi="Times New Roman" w:eastAsia="宋体" w:cs="Times New Roman"/>
                <w:szCs w:val="21"/>
              </w:rPr>
              <w:t>代表性教学参考书：</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江桂斌，《环境化学前沿》（第1版），刘维屏编著（主编），科学出版社，2017.</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江桂斌，郑明辉，孙红文，蔡勇编著（主编），《环境化学前沿（第二辑）》（第1版），科学出版社，2019.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444" w:type="dxa"/>
            <w:vAlign w:val="center"/>
          </w:tcPr>
          <w:p>
            <w:pPr>
              <w:pStyle w:val="39"/>
              <w:jc w:val="left"/>
              <w:rPr>
                <w:rFonts w:ascii="Times New Roman" w:hAnsi="Times New Roman" w:cs="Times New Roman"/>
              </w:rPr>
            </w:pPr>
            <w:r>
              <w:rPr>
                <w:rFonts w:ascii="Times New Roman" w:hAnsi="Times New Roman" w:cs="Times New Roman" w:eastAsiaTheme="minorEastAsia"/>
                <w:kern w:val="2"/>
                <w:sz w:val="21"/>
              </w:rPr>
              <w:t>大气污染控制理论与技术</w:t>
            </w:r>
          </w:p>
          <w:p>
            <w:pPr>
              <w:spacing w:line="400" w:lineRule="exact"/>
              <w:rPr>
                <w:rFonts w:ascii="Times New Roman" w:hAnsi="Times New Roman" w:cs="Times New Roman"/>
                <w:szCs w:val="21"/>
              </w:rPr>
            </w:pPr>
          </w:p>
        </w:tc>
        <w:tc>
          <w:tcPr>
            <w:tcW w:w="7451" w:type="dxa"/>
          </w:tcPr>
          <w:p>
            <w:pPr>
              <w:rPr>
                <w:rFonts w:ascii="Times New Roman" w:hAnsi="Times New Roman" w:eastAsia="宋体" w:cs="Times New Roman"/>
                <w:szCs w:val="21"/>
              </w:rPr>
            </w:pPr>
            <w:r>
              <w:rPr>
                <w:rFonts w:hint="eastAsia" w:ascii="Times New Roman" w:hAnsi="Times New Roman" w:eastAsia="宋体" w:cs="Times New Roman"/>
                <w:szCs w:val="21"/>
              </w:rPr>
              <w:t>教材：</w:t>
            </w:r>
          </w:p>
          <w:p>
            <w:pPr>
              <w:rPr>
                <w:rFonts w:ascii="Times New Roman" w:hAnsi="Times New Roman" w:eastAsia="宋体" w:cs="Times New Roman"/>
                <w:szCs w:val="21"/>
              </w:rPr>
            </w:pPr>
            <w:r>
              <w:rPr>
                <w:rFonts w:hint="eastAsia" w:ascii="Times New Roman" w:hAnsi="Times New Roman" w:eastAsia="宋体" w:cs="Times New Roman"/>
                <w:szCs w:val="21"/>
              </w:rPr>
              <w:t>郝吉明，马广大，王书肖.《大气污染控制工程》（第3版），北京：高等教育出版社，2010</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 xml:space="preserve">代表性教学参考书： </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Noel de Nevers.《Air Pollution Control Engineering》(second edition)，McGraw-Hill, 北京：清华大学出版社，2000年影印版（第2版）。</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美</w:t>
            </w:r>
            <w:r>
              <w:rPr>
                <w:rFonts w:ascii="Times New Roman" w:hAnsi="Times New Roman" w:eastAsia="宋体" w:cs="Times New Roman"/>
                <w:szCs w:val="21"/>
              </w:rPr>
              <w:t xml:space="preserve">) </w:t>
            </w:r>
            <w:r>
              <w:rPr>
                <w:rFonts w:hint="eastAsia" w:ascii="Times New Roman" w:hAnsi="Times New Roman" w:eastAsia="宋体" w:cs="Times New Roman"/>
                <w:szCs w:val="21"/>
              </w:rPr>
              <w:t>诺埃尔</w:t>
            </w:r>
            <w:r>
              <w:rPr>
                <w:rFonts w:ascii="Times New Roman" w:hAnsi="Times New Roman" w:eastAsia="宋体" w:cs="Times New Roman"/>
                <w:szCs w:val="21"/>
              </w:rPr>
              <w:t>∙</w:t>
            </w:r>
            <w:r>
              <w:rPr>
                <w:rFonts w:hint="eastAsia" w:ascii="Times New Roman" w:hAnsi="Times New Roman" w:eastAsia="宋体" w:cs="Times New Roman"/>
                <w:szCs w:val="21"/>
              </w:rPr>
              <w:t>德</w:t>
            </w:r>
            <w:r>
              <w:rPr>
                <w:rFonts w:ascii="Times New Roman" w:hAnsi="Times New Roman" w:eastAsia="宋体" w:cs="Times New Roman"/>
                <w:szCs w:val="21"/>
              </w:rPr>
              <w:t>∙</w:t>
            </w:r>
            <w:r>
              <w:rPr>
                <w:rFonts w:hint="eastAsia" w:ascii="Times New Roman" w:hAnsi="Times New Roman" w:eastAsia="宋体" w:cs="Times New Roman"/>
                <w:szCs w:val="21"/>
              </w:rPr>
              <w:t>内韦尔著；胡敏</w:t>
            </w:r>
            <w:r>
              <w:rPr>
                <w:rFonts w:ascii="Times New Roman" w:hAnsi="Times New Roman" w:eastAsia="宋体" w:cs="Times New Roman"/>
                <w:szCs w:val="21"/>
              </w:rPr>
              <w:t xml:space="preserve">, </w:t>
            </w:r>
            <w:r>
              <w:rPr>
                <w:rFonts w:hint="eastAsia" w:ascii="Times New Roman" w:hAnsi="Times New Roman" w:eastAsia="宋体" w:cs="Times New Roman"/>
                <w:szCs w:val="21"/>
              </w:rPr>
              <w:t>谢绍东等译</w:t>
            </w:r>
            <w:r>
              <w:rPr>
                <w:rFonts w:ascii="Times New Roman" w:hAnsi="Times New Roman" w:eastAsia="宋体" w:cs="Times New Roman"/>
                <w:szCs w:val="21"/>
              </w:rPr>
              <w:t>.</w:t>
            </w:r>
            <w:r>
              <w:rPr>
                <w:rFonts w:hint="eastAsia" w:ascii="Times New Roman" w:hAnsi="Times New Roman" w:eastAsia="宋体" w:cs="Times New Roman"/>
                <w:szCs w:val="21"/>
              </w:rPr>
              <w:t>《大气污染控制工程》（第</w:t>
            </w:r>
            <w:r>
              <w:rPr>
                <w:rFonts w:ascii="Times New Roman" w:hAnsi="Times New Roman" w:eastAsia="宋体" w:cs="Times New Roman"/>
                <w:szCs w:val="21"/>
              </w:rPr>
              <w:t>2</w:t>
            </w:r>
            <w:r>
              <w:rPr>
                <w:rFonts w:hint="eastAsia" w:ascii="Times New Roman" w:hAnsi="Times New Roman" w:eastAsia="宋体" w:cs="Times New Roman"/>
                <w:szCs w:val="21"/>
              </w:rPr>
              <w:t>版），北京：化学工业出版社，</w:t>
            </w:r>
            <w:r>
              <w:rPr>
                <w:rFonts w:ascii="Times New Roman" w:hAnsi="Times New Roman" w:eastAsia="宋体" w:cs="Times New Roman"/>
                <w:szCs w:val="21"/>
              </w:rPr>
              <w:t>2005</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郭静，阮宜纶，《大气污染控制工程》（第1版），北京：化学工业出版社，2001.</w:t>
            </w:r>
          </w:p>
          <w:p>
            <w:pP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李广超，傅梅绮，《大气污染控制技术》（第1版），北京：化学工业出版社，2004.</w:t>
            </w:r>
          </w:p>
          <w:p>
            <w:pP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吴忠标，《大气污染控制工程》（第1版），北京：科学出版社，2002.</w:t>
            </w:r>
          </w:p>
          <w:p>
            <w:pP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w:t>
            </w:r>
            <w:r>
              <w:rPr>
                <w:rFonts w:hint="eastAsia" w:ascii="Times New Roman" w:hAnsi="Times New Roman" w:eastAsia="宋体" w:cs="Times New Roman"/>
                <w:szCs w:val="21"/>
              </w:rPr>
              <w:t>沈伯雄，《大气污染控制工程》（第1版），北京：化学工业出版社，2007.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44" w:type="dxa"/>
            <w:vAlign w:val="center"/>
          </w:tcPr>
          <w:p>
            <w:pPr>
              <w:pStyle w:val="39"/>
              <w:jc w:val="left"/>
              <w:rPr>
                <w:rFonts w:ascii="Times New Roman" w:hAnsi="Times New Roman" w:cs="Times New Roman"/>
              </w:rPr>
            </w:pPr>
            <w:r>
              <w:rPr>
                <w:rFonts w:ascii="Times New Roman" w:hAnsi="Times New Roman" w:cs="Times New Roman" w:eastAsiaTheme="minorEastAsia"/>
                <w:kern w:val="2"/>
                <w:sz w:val="21"/>
              </w:rPr>
              <w:t>水污染控制工程</w:t>
            </w:r>
          </w:p>
        </w:tc>
        <w:tc>
          <w:tcPr>
            <w:tcW w:w="7451" w:type="dxa"/>
          </w:tcPr>
          <w:p>
            <w:pPr>
              <w:rPr>
                <w:rFonts w:ascii="Times New Roman" w:hAnsi="Times New Roman" w:eastAsia="宋体" w:cs="Times New Roman"/>
                <w:szCs w:val="21"/>
              </w:rPr>
            </w:pPr>
            <w:r>
              <w:rPr>
                <w:rFonts w:hint="eastAsia" w:ascii="Times New Roman" w:hAnsi="Times New Roman" w:eastAsia="宋体" w:cs="Times New Roman"/>
                <w:szCs w:val="21"/>
              </w:rPr>
              <w:t>教材：</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 xml:space="preserve">高廷耀、顾国维、周琪编，《水污染控制工程（上）》。 </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高廷耀、顾国维、周琪编，《水污染控制工程（下）》。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444" w:type="dxa"/>
            <w:vAlign w:val="center"/>
          </w:tcPr>
          <w:p>
            <w:pPr>
              <w:pStyle w:val="39"/>
              <w:jc w:val="left"/>
              <w:rPr>
                <w:rFonts w:ascii="Times New Roman" w:hAnsi="Times New Roman" w:cs="Times New Roman"/>
              </w:rPr>
            </w:pPr>
            <w:r>
              <w:rPr>
                <w:rFonts w:ascii="Times New Roman" w:hAnsi="Times New Roman" w:cs="Times New Roman" w:eastAsiaTheme="minorEastAsia"/>
                <w:kern w:val="2"/>
                <w:sz w:val="21"/>
              </w:rPr>
              <w:t>固体废弃物处理与处置</w:t>
            </w:r>
          </w:p>
          <w:p>
            <w:pPr>
              <w:spacing w:line="400" w:lineRule="exact"/>
              <w:rPr>
                <w:rFonts w:ascii="Times New Roman" w:hAnsi="Times New Roman" w:cs="Times New Roman"/>
                <w:szCs w:val="21"/>
              </w:rPr>
            </w:pPr>
          </w:p>
        </w:tc>
        <w:tc>
          <w:tcPr>
            <w:tcW w:w="7451" w:type="dxa"/>
          </w:tcPr>
          <w:p>
            <w:pPr>
              <w:rPr>
                <w:rFonts w:ascii="Times New Roman" w:hAnsi="Times New Roman" w:eastAsia="宋体" w:cs="Times New Roman"/>
                <w:szCs w:val="21"/>
              </w:rPr>
            </w:pPr>
            <w:r>
              <w:rPr>
                <w:rFonts w:hint="eastAsia" w:ascii="Times New Roman" w:hAnsi="Times New Roman" w:eastAsia="宋体" w:cs="Times New Roman"/>
                <w:szCs w:val="21"/>
              </w:rPr>
              <w:t>教材：</w:t>
            </w:r>
          </w:p>
          <w:p>
            <w:pPr>
              <w:rPr>
                <w:rFonts w:ascii="Times New Roman" w:hAnsi="Times New Roman" w:eastAsia="宋体" w:cs="Times New Roman"/>
                <w:szCs w:val="21"/>
              </w:rPr>
            </w:pPr>
            <w:r>
              <w:rPr>
                <w:rFonts w:hint="eastAsia" w:ascii="Times New Roman" w:hAnsi="Times New Roman" w:eastAsia="宋体" w:cs="Times New Roman"/>
                <w:szCs w:val="21"/>
              </w:rPr>
              <w:t>赵由才，牛冬杰，柴晓利 等编著，《固体废物处理与资源化》（第一版），化学工业出版社，2006年.</w:t>
            </w:r>
          </w:p>
          <w:p>
            <w:pPr>
              <w:rPr>
                <w:rFonts w:ascii="Times New Roman" w:hAnsi="Times New Roman" w:eastAsia="宋体" w:cs="Times New Roman"/>
                <w:szCs w:val="21"/>
              </w:rPr>
            </w:pPr>
            <w:r>
              <w:rPr>
                <w:rFonts w:hint="eastAsia" w:ascii="Times New Roman" w:hAnsi="Times New Roman" w:eastAsia="宋体" w:cs="Times New Roman"/>
                <w:szCs w:val="21"/>
              </w:rPr>
              <w:t>代表性教学参考书：</w:t>
            </w:r>
          </w:p>
          <w:p>
            <w:pPr>
              <w:rPr>
                <w:rFonts w:ascii="Times New Roman" w:hAnsi="Times New Roman" w:eastAsia="宋体" w:cs="Times New Roman"/>
                <w:szCs w:val="21"/>
              </w:rPr>
            </w:pPr>
            <w:r>
              <w:rPr>
                <w:rFonts w:hint="eastAsia" w:ascii="Times New Roman" w:hAnsi="Times New Roman" w:eastAsia="宋体" w:cs="Times New Roman"/>
                <w:szCs w:val="21"/>
              </w:rPr>
              <w:t>王黎编著，《固体废物处置与处理》（第一版），冶金工业出版社.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4" w:type="dxa"/>
            <w:vAlign w:val="center"/>
          </w:tcPr>
          <w:p>
            <w:pPr>
              <w:pStyle w:val="39"/>
              <w:jc w:val="left"/>
              <w:rPr>
                <w:rFonts w:ascii="Times New Roman" w:hAnsi="Times New Roman" w:cs="Times New Roman"/>
              </w:rPr>
            </w:pPr>
            <w:r>
              <w:rPr>
                <w:rFonts w:ascii="Times New Roman" w:hAnsi="Times New Roman" w:cs="Times New Roman" w:eastAsiaTheme="minorEastAsia"/>
                <w:kern w:val="2"/>
                <w:sz w:val="21"/>
              </w:rPr>
              <w:t>环境分析化学</w:t>
            </w:r>
          </w:p>
        </w:tc>
        <w:tc>
          <w:tcPr>
            <w:tcW w:w="7451" w:type="dxa"/>
          </w:tcPr>
          <w:p>
            <w:pPr>
              <w:rPr>
                <w:rFonts w:ascii="Times New Roman" w:hAnsi="Times New Roman" w:cs="Times New Roman"/>
                <w:szCs w:val="21"/>
              </w:rPr>
            </w:pPr>
            <w:r>
              <w:rPr>
                <w:rFonts w:hint="eastAsia" w:ascii="Times New Roman" w:hAnsi="Times New Roman" w:cs="Times New Roman"/>
                <w:szCs w:val="21"/>
              </w:rPr>
              <w:t>教材：</w:t>
            </w:r>
          </w:p>
          <w:p>
            <w:pPr>
              <w:rPr>
                <w:rFonts w:ascii="Times New Roman" w:hAnsi="Times New Roman" w:cs="Times New Roman"/>
                <w:szCs w:val="21"/>
              </w:rPr>
            </w:pPr>
            <w:r>
              <w:rPr>
                <w:rFonts w:hint="eastAsia" w:ascii="Times New Roman" w:hAnsi="Times New Roman" w:cs="Times New Roman"/>
                <w:szCs w:val="21"/>
              </w:rPr>
              <w:t>韦进宝，钱少华编著，《环境分析化学》，化学工业出版社，</w:t>
            </w:r>
            <w:r>
              <w:rPr>
                <w:rFonts w:ascii="Times New Roman" w:hAnsi="Times New Roman" w:cs="Times New Roman"/>
                <w:szCs w:val="21"/>
              </w:rPr>
              <w:t>2002.</w:t>
            </w:r>
          </w:p>
          <w:p>
            <w:pPr>
              <w:rPr>
                <w:rFonts w:ascii="Times New Roman" w:hAnsi="Times New Roman" w:cs="Times New Roman"/>
                <w:bCs/>
              </w:rPr>
            </w:pPr>
            <w:r>
              <w:rPr>
                <w:rFonts w:hint="eastAsia" w:ascii="Times New Roman" w:hAnsi="Times New Roman" w:cs="Times New Roman"/>
                <w:bCs/>
              </w:rPr>
              <w:t>代表性教学参考书：</w:t>
            </w:r>
          </w:p>
          <w:p>
            <w:pPr>
              <w:rPr>
                <w:rFonts w:ascii="Times New Roman" w:hAnsi="Times New Roman" w:cs="Times New Roman"/>
                <w:szCs w:val="21"/>
              </w:rPr>
            </w:pPr>
            <w:r>
              <w:rPr>
                <w:rFonts w:hint="eastAsia" w:ascii="Times New Roman" w:hAnsi="Times New Roman" w:cs="Times New Roman"/>
                <w:bCs/>
              </w:rPr>
              <w:t>1</w:t>
            </w:r>
            <w:r>
              <w:rPr>
                <w:rFonts w:ascii="Times New Roman" w:hAnsi="Times New Roman" w:cs="Times New Roman"/>
                <w:bCs/>
              </w:rPr>
              <w:t>.叶宪曾, 张新祥等编，</w:t>
            </w:r>
            <w:r>
              <w:rPr>
                <w:rFonts w:hint="eastAsia" w:ascii="Times New Roman" w:hAnsi="Times New Roman" w:cs="Times New Roman"/>
                <w:bCs/>
              </w:rPr>
              <w:t>《</w:t>
            </w:r>
            <w:r>
              <w:rPr>
                <w:rFonts w:ascii="Times New Roman" w:hAnsi="Times New Roman" w:cs="Times New Roman"/>
                <w:szCs w:val="21"/>
              </w:rPr>
              <w:t>仪器分析教程</w:t>
            </w:r>
            <w:r>
              <w:rPr>
                <w:rFonts w:hint="eastAsia" w:ascii="Times New Roman" w:hAnsi="Times New Roman" w:cs="Times New Roman"/>
                <w:szCs w:val="21"/>
              </w:rPr>
              <w:t>》</w:t>
            </w:r>
            <w:r>
              <w:rPr>
                <w:rFonts w:ascii="Times New Roman" w:hAnsi="Times New Roman" w:cs="Times New Roman"/>
                <w:szCs w:val="21"/>
              </w:rPr>
              <w:t>，北京大学出版社，2007.</w:t>
            </w:r>
          </w:p>
          <w:p>
            <w:pP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.刘虎生、邵宏翔编，</w:t>
            </w:r>
            <w:r>
              <w:rPr>
                <w:rFonts w:hint="eastAsia" w:ascii="Times New Roman" w:hAnsi="Times New Roman" w:cs="Times New Roman"/>
                <w:szCs w:val="21"/>
              </w:rPr>
              <w:t>《</w:t>
            </w:r>
            <w:r>
              <w:rPr>
                <w:rFonts w:ascii="Times New Roman" w:hAnsi="Times New Roman" w:cs="Times New Roman"/>
                <w:szCs w:val="21"/>
              </w:rPr>
              <w:t>电感耦合等离子体质谱技术与应用</w:t>
            </w:r>
            <w:r>
              <w:rPr>
                <w:rFonts w:hint="eastAsia" w:ascii="Times New Roman" w:hAnsi="Times New Roman" w:cs="Times New Roman"/>
                <w:szCs w:val="21"/>
              </w:rPr>
              <w:t>》</w:t>
            </w:r>
            <w:r>
              <w:rPr>
                <w:rFonts w:ascii="Times New Roman" w:hAnsi="Times New Roman" w:cs="Times New Roman"/>
                <w:szCs w:val="21"/>
              </w:rPr>
              <w:t>，化学工业出版社，2005.</w:t>
            </w:r>
          </w:p>
          <w:p>
            <w:pP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w:t>
            </w:r>
            <w:r>
              <w:rPr>
                <w:rFonts w:hint="eastAsia" w:ascii="Times New Roman" w:hAnsi="Times New Roman" w:cs="Times New Roman"/>
                <w:szCs w:val="21"/>
              </w:rPr>
              <w:t>刘丛强等编，《生物地球化学过程与地表物质循环》，科学出版社，2009</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 xml:space="preserve">4.J R Dean, Methods for Environmental Trace Analysis, John Wiley &amp; Sons, Ltd. (UK), 2003. </w:t>
            </w:r>
          </w:p>
          <w:p>
            <w:pPr>
              <w:rPr>
                <w:rFonts w:ascii="Times New Roman" w:hAnsi="Times New Roman" w:eastAsia="宋体" w:cs="Times New Roman"/>
                <w:szCs w:val="21"/>
              </w:rPr>
            </w:pPr>
            <w:r>
              <w:rPr>
                <w:rFonts w:ascii="Times New Roman" w:hAnsi="Times New Roman" w:cs="Times New Roman"/>
                <w:szCs w:val="21"/>
              </w:rPr>
              <w:t>5.R P Schwrzenbach, P M Gschwend &amp; D M Imboden, Environmental Organic Chemistry, John Wiley &amp; Sons, Lnc., 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44" w:type="dxa"/>
            <w:vAlign w:val="center"/>
          </w:tcPr>
          <w:p>
            <w:pPr>
              <w:pStyle w:val="39"/>
              <w:jc w:val="left"/>
              <w:rPr>
                <w:rFonts w:ascii="Times New Roman" w:hAnsi="Times New Roman" w:cs="Times New Roman"/>
              </w:rPr>
            </w:pPr>
            <w:r>
              <w:rPr>
                <w:rFonts w:ascii="Times New Roman" w:hAnsi="Times New Roman" w:cs="Times New Roman" w:eastAsiaTheme="minorEastAsia"/>
                <w:kern w:val="2"/>
                <w:sz w:val="21"/>
              </w:rPr>
              <w:t>河口海岸学</w:t>
            </w:r>
          </w:p>
          <w:p>
            <w:pPr>
              <w:spacing w:line="400" w:lineRule="exact"/>
              <w:rPr>
                <w:rFonts w:ascii="Times New Roman" w:hAnsi="Times New Roman" w:cs="Times New Roman"/>
                <w:szCs w:val="21"/>
              </w:rPr>
            </w:pPr>
          </w:p>
        </w:tc>
        <w:tc>
          <w:tcPr>
            <w:tcW w:w="7451" w:type="dxa"/>
          </w:tcPr>
          <w:p>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.赵今声等编，《河口海岸动力学》，海洋出版社，1993年.</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2.Thomas S. Bianchi著，姚庆祯、姚鹏译，《河口生物地球化学》，海洋出版社，2017年.</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3.A. Valle-Levinson, Contemporary Issues in Estuarine Physics, Cambridge University Press, 2010.</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4.Beer,T. et al. Global Change and Future Earth, Cambridge University Press, 2018. </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5.Day, J W.et al. Estuarine Ecology (Second Edition), John Wiley &amp; Sons, Inc. , 2012.</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6.Eric Olausson and Ingemar Cato, Chemistry and Biogeochemistry of Estuaries, New York Wiley, 1980.</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7.Frank J. Millero, Chemical Oceanography (Forth Edition), CRC Press, 2016.</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8.Jean-Marie Beckers and Benoit Cushman-Roisin, Introduction to Geophysical Fluid Dynamics: Physical and Numerical Aspects (Second Edition), Academic Press, 2011.</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9.Judith Bosboom and Marcel J.F.Stive, Coastal Dynamics, TU Delft Open, 2021.</w:t>
            </w:r>
          </w:p>
          <w:p>
            <w:pPr>
              <w:rPr>
                <w:rFonts w:ascii="Times New Roman" w:hAnsi="Times New Roman" w:eastAsia="宋体" w:cs="Times New Roman"/>
                <w:szCs w:val="21"/>
              </w:rPr>
            </w:pPr>
            <w:r>
              <w:rPr>
                <w:rFonts w:ascii="Times New Roman" w:hAnsi="Times New Roman" w:eastAsia="宋体" w:cs="Times New Roman"/>
                <w:color w:val="000000" w:themeColor="text1"/>
                <w:szCs w:val="21"/>
                <w14:textFill>
                  <w14:solidFill>
                    <w14:schemeClr w14:val="tx1"/>
                  </w14:solidFill>
                </w14:textFill>
              </w:rPr>
              <w:t>10.Odum, H. T. Systems Ecology – An Introduction, John Wiley &amp; Sons, Inc. , 1983.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444" w:type="dxa"/>
            <w:vAlign w:val="center"/>
          </w:tcPr>
          <w:p>
            <w:pPr>
              <w:pStyle w:val="39"/>
              <w:jc w:val="left"/>
              <w:rPr>
                <w:rFonts w:ascii="Times New Roman" w:hAnsi="Times New Roman" w:cs="Times New Roman"/>
              </w:rPr>
            </w:pPr>
            <w:r>
              <w:rPr>
                <w:rFonts w:ascii="Times New Roman" w:hAnsi="Times New Roman" w:cs="Times New Roman" w:eastAsiaTheme="minorEastAsia"/>
                <w:kern w:val="2"/>
                <w:sz w:val="21"/>
              </w:rPr>
              <w:t>河口海岸前沿技术</w:t>
            </w:r>
          </w:p>
          <w:p>
            <w:pPr>
              <w:spacing w:line="400" w:lineRule="exact"/>
              <w:rPr>
                <w:rFonts w:ascii="Times New Roman" w:hAnsi="Times New Roman" w:cs="Times New Roman"/>
                <w:szCs w:val="21"/>
              </w:rPr>
            </w:pPr>
          </w:p>
        </w:tc>
        <w:tc>
          <w:tcPr>
            <w:tcW w:w="7451" w:type="dxa"/>
            <w:vAlign w:val="center"/>
          </w:tcPr>
          <w:p>
            <w:pPr>
              <w:rPr>
                <w:rStyle w:val="41"/>
                <w:rFonts w:ascii="Times New Roman" w:hAnsi="Times New Roman" w:eastAsia="宋体" w:cs="Times New Roman"/>
                <w:color w:val="000000" w:themeColor="text1"/>
                <w14:textFill>
                  <w14:solidFill>
                    <w14:schemeClr w14:val="tx1"/>
                  </w14:solidFill>
                </w14:textFill>
              </w:rPr>
            </w:pPr>
            <w:r>
              <w:rPr>
                <w:rStyle w:val="41"/>
                <w:rFonts w:hint="eastAsia" w:ascii="Times New Roman" w:hAnsi="Times New Roman" w:eastAsia="宋体" w:cs="Times New Roman"/>
                <w:color w:val="000000" w:themeColor="text1"/>
                <w14:textFill>
                  <w14:solidFill>
                    <w14:schemeClr w14:val="tx1"/>
                  </w14:solidFill>
                </w14:textFill>
              </w:rPr>
              <w:t>1</w:t>
            </w:r>
            <w:r>
              <w:rPr>
                <w:rStyle w:val="41"/>
                <w:rFonts w:ascii="Times New Roman" w:hAnsi="Times New Roman" w:eastAsia="宋体" w:cs="Times New Roman"/>
                <w:color w:val="000000" w:themeColor="text1"/>
                <w14:textFill>
                  <w14:solidFill>
                    <w14:schemeClr w14:val="tx1"/>
                  </w14:solidFill>
                </w14:textFill>
              </w:rPr>
              <w:t xml:space="preserve">.侍茂崇主编，《海洋调查方法导论》，中国海洋大学出版社，2008. </w:t>
            </w:r>
          </w:p>
          <w:p>
            <w:pPr>
              <w:rPr>
                <w:rStyle w:val="41"/>
                <w:rFonts w:ascii="Times New Roman" w:hAnsi="Times New Roman" w:eastAsia="宋体" w:cs="Times New Roman"/>
                <w:color w:val="000000" w:themeColor="text1"/>
                <w14:textFill>
                  <w14:solidFill>
                    <w14:schemeClr w14:val="tx1"/>
                  </w14:solidFill>
                </w14:textFill>
              </w:rPr>
            </w:pPr>
            <w:r>
              <w:rPr>
                <w:rStyle w:val="41"/>
                <w:rFonts w:hint="eastAsia" w:ascii="Times New Roman" w:hAnsi="Times New Roman" w:eastAsia="宋体" w:cs="Times New Roman"/>
                <w:color w:val="000000" w:themeColor="text1"/>
                <w14:textFill>
                  <w14:solidFill>
                    <w14:schemeClr w14:val="tx1"/>
                  </w14:solidFill>
                </w14:textFill>
              </w:rPr>
              <w:t>2</w:t>
            </w:r>
            <w:r>
              <w:rPr>
                <w:rStyle w:val="41"/>
                <w:rFonts w:ascii="Times New Roman" w:hAnsi="Times New Roman" w:eastAsia="宋体" w:cs="Times New Roman"/>
                <w:color w:val="000000" w:themeColor="text1"/>
                <w14:textFill>
                  <w14:solidFill>
                    <w14:schemeClr w14:val="tx1"/>
                  </w14:solidFill>
                </w14:textFill>
              </w:rPr>
              <w:t>.杨鲲等编，《海洋调查技术及应用》，武汉大学出版社，2009.</w:t>
            </w:r>
          </w:p>
          <w:p>
            <w:pPr>
              <w:rPr>
                <w:rFonts w:ascii="Times New Roman" w:hAnsi="Times New Roman" w:eastAsia="宋体" w:cs="Times New Roman"/>
                <w:color w:val="000000" w:themeColor="text1"/>
                <w:szCs w:val="21"/>
                <w14:textFill>
                  <w14:solidFill>
                    <w14:schemeClr w14:val="tx1"/>
                  </w14:solidFill>
                </w14:textFill>
              </w:rPr>
            </w:pPr>
            <w:r>
              <w:rPr>
                <w:rStyle w:val="41"/>
                <w:rFonts w:hint="eastAsia" w:ascii="Times New Roman" w:hAnsi="Times New Roman" w:eastAsia="宋体" w:cs="Times New Roman"/>
                <w:color w:val="000000" w:themeColor="text1"/>
                <w14:textFill>
                  <w14:solidFill>
                    <w14:schemeClr w14:val="tx1"/>
                  </w14:solidFill>
                </w14:textFill>
              </w:rPr>
              <w:t>3</w:t>
            </w:r>
            <w:r>
              <w:rPr>
                <w:rStyle w:val="41"/>
                <w:rFonts w:ascii="Times New Roman" w:hAnsi="Times New Roman" w:eastAsia="宋体" w:cs="Times New Roman"/>
                <w:color w:val="000000" w:themeColor="text1"/>
                <w14:textFill>
                  <w14:solidFill>
                    <w14:schemeClr w14:val="tx1"/>
                  </w14:solidFill>
                </w14:textFill>
              </w:rPr>
              <w:t>.陈令新等编，《海洋环境分析监测技术》，科学出版社，2018.</w:t>
            </w:r>
            <w:r>
              <w:rPr>
                <w:rFonts w:ascii="Times New Roman" w:hAnsi="Times New Roman" w:eastAsia="宋体" w:cs="Times New Roman"/>
                <w:color w:val="000000" w:themeColor="text1"/>
                <w:szCs w:val="21"/>
                <w14:textFill>
                  <w14:solidFill>
                    <w14:schemeClr w14:val="tx1"/>
                  </w14:solidFill>
                </w14:textFill>
              </w:rPr>
              <w:t xml:space="preserve">4. </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4.朱明华编，《仪器分析》，高等教育出版社，2000年.</w:t>
            </w:r>
          </w:p>
          <w:p>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.武汉大学化学系编，《仪器分析》，高等教育出版社，2001年.</w:t>
            </w:r>
          </w:p>
          <w:p>
            <w:pPr>
              <w:rPr>
                <w:rFonts w:ascii="Times New Roman" w:hAnsi="Times New Roman" w:eastAsia="宋体" w:cs="Times New Roman"/>
                <w:szCs w:val="21"/>
              </w:rPr>
            </w:pPr>
            <w:r>
              <w:rPr>
                <w:rFonts w:hint="eastAsia" w:ascii="Times New Roman" w:hAnsi="Times New Roman" w:eastAsia="宋体" w:cs="Times New Roman"/>
                <w:color w:val="000000" w:themeColor="text1"/>
                <w:szCs w:val="21"/>
                <w14:textFill>
                  <w14:solidFill>
                    <w14:schemeClr w14:val="tx1"/>
                  </w14:solidFill>
                </w14:textFill>
              </w:rPr>
              <w:t>6</w:t>
            </w:r>
            <w:r>
              <w:rPr>
                <w:rFonts w:ascii="Times New Roman" w:hAnsi="Times New Roman" w:eastAsia="宋体" w:cs="Times New Roman"/>
                <w:color w:val="000000" w:themeColor="text1"/>
                <w:szCs w:val="21"/>
                <w14:textFill>
                  <w14:solidFill>
                    <w14:schemeClr w14:val="tx1"/>
                  </w14:solidFill>
                </w14:textFill>
              </w:rPr>
              <w:t>.叶宪曾, 张新祥等编，《仪器分析教程》，北京大学出版社，2007年.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44" w:type="dxa"/>
            <w:vAlign w:val="center"/>
          </w:tcPr>
          <w:p>
            <w:pPr>
              <w:pStyle w:val="39"/>
              <w:jc w:val="left"/>
              <w:rPr>
                <w:rFonts w:ascii="Times New Roman" w:hAnsi="Times New Roman" w:cs="Times New Roman"/>
              </w:rPr>
            </w:pPr>
            <w:r>
              <w:rPr>
                <w:rFonts w:ascii="Times New Roman" w:hAnsi="Times New Roman" w:cs="Times New Roman" w:eastAsiaTheme="minorEastAsia"/>
                <w:kern w:val="2"/>
                <w:sz w:val="21"/>
              </w:rPr>
              <w:t>河口海岸研究进展</w:t>
            </w:r>
          </w:p>
        </w:tc>
        <w:tc>
          <w:tcPr>
            <w:tcW w:w="7451" w:type="dxa"/>
          </w:tcPr>
          <w:p>
            <w:pPr>
              <w:rPr>
                <w:rFonts w:ascii="Times New Roman" w:hAnsi="Times New Roman" w:eastAsia="宋体" w:cs="Times New Roman"/>
                <w:szCs w:val="21"/>
              </w:rPr>
            </w:pPr>
            <w:r>
              <w:rPr>
                <w:rFonts w:hint="eastAsia" w:ascii="Times New Roman" w:hAnsi="Times New Roman" w:cs="Times New Roman"/>
                <w:szCs w:val="21"/>
              </w:rPr>
              <w:t>系列讲座，无教材或参考用书</w:t>
            </w:r>
          </w:p>
        </w:tc>
      </w:tr>
    </w:tbl>
    <w:p>
      <w:pPr>
        <w:spacing w:before="240"/>
        <w:rPr>
          <w:rFonts w:ascii="Times New Roman" w:hAnsi="Times New Roman" w:cs="Times New Roman"/>
          <w:szCs w:val="21"/>
        </w:rPr>
      </w:pPr>
    </w:p>
    <w:p>
      <w:pPr>
        <w:spacing w:before="156" w:beforeLines="50" w:after="156" w:afterLines="50"/>
        <w:ind w:firstLine="480" w:firstLineChars="200"/>
        <w:rPr>
          <w:rFonts w:ascii="Times New Roman" w:hAnsi="Times New Roman" w:cs="Times New Roman"/>
          <w:szCs w:val="21"/>
        </w:rPr>
      </w:pPr>
      <w:r>
        <w:rPr>
          <w:rFonts w:ascii="Times New Roman" w:hAnsi="Times New Roman" w:eastAsia="黑体" w:cs="Times New Roman"/>
          <w:sz w:val="24"/>
          <w:szCs w:val="24"/>
        </w:rPr>
        <w:t>十一、基本文献阅读书目</w:t>
      </w:r>
      <w:r>
        <w:rPr>
          <w:rFonts w:ascii="Times New Roman" w:hAnsi="Times New Roman" w:cs="Times New Roman"/>
          <w:szCs w:val="21"/>
        </w:rPr>
        <w:t xml:space="preserve"> </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包存宽等著. 规划环境影响评价方法及实例. 科学出版社, 2006年出版.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崔宝秋主编. 环境与健康（第2版）. 化学工业出版社, 2013年出版.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戴树桂主编. 环境化学（第2版）. 高教出版社, 2010年出版.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高廷耀, 顾国维, 周琪. 水污染控制工程（第4版）. 高等教育出版社, 2015年出版.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顾夏声等编著. 水处理生物学（第5版）. 中国建筑工业出版社, 2011年出版.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郝吉明, 马广大, 王书肖. 大气污染控制工程（第3版）. 高等教育出版社, 2010年出版.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胡洪营编著. 环境工程原理. 高等教育出版社, 2005年出版.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黄民生, 陈振楼主编. 城市内河污染治理与生态修复——理论、方法与实践. 科学出版社, 2010年出版.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江桂斌, 刘维屏主编. 环境化学前沿. 科学出版社, 2017年出版.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贾海峰等编著. 城市河流环境修复技术原理及实践城市河道水环境污染与环境修复技术. 化学工业出版社, 2017年出版.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金相灿主编. 湖泊富营养化控制和管理技术. 化学工业出版社, 2001年出版.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李亮. 土壤环境的新型生物修复. 天津大学出版社, 2017年出版.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刘培桐主编. 环境学概论. 高等教育出版社, 1995年出版. </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骆永明等. 有机污染土壤的修复机制与技术发展. 科学出版社, 2017年出版.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罗育池等. 地下水污染防控技术：防渗、修复与监控. 科学出版社, 2018年出版.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马溪平, 徐成斌, 付保荣等编著. 厌氧微生物学与污水处理（第2版）. 化学工业出版社, 2017年出版.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孟紫强主编. 环境毒理学基础（第2版）. 高等教育出版社,  2010年出版.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曲向荣编著. 土壤环境学. 清华大学出版社, 2010年出版.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史家梁, 徐亚同等. 环境微生物学. 华东师范大学出版社, 1993年出版.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时立文. SPSS 19.0统计分析从入门到精通. 清华大学出版社, 2016年出版.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王国惠主编. 环境工程微生物学—原理与应用（第3版）. 化学工业出版社, 2015年出版.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奚旦立, 孙裕生, 刘秀英编. 环境监测（第4版）. 高等教育出版社, 2009年出版.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徐亚同, 谢冰编著. 废水生物处理的运行与管理（第二版）. 中国轻工业出版, 2009年出版.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徐亚同, 史家梁等. 污染控制微生物工程. 化学工业出版社, 2001年出版.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叶文虎, 张勇编著. 环境管理学（第3版）. 高等教育出版社, 2013年出版.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叶卫平. Origin 9.1科技绘图及数据分析. 机械工业出版社, 2015出版.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张晓健, 黄霞编著. 水与废水物化处理的原理与工艺. 清华大学出版社, 2011年出版.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张自杰等主编. 排水工程（第4版）. 中国建筑工业出版社, 2007年出版.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赵由才主编. 使用环境工程手册—固体废物污染控制与资源化. 化学工业出版社, 2002年出版.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郑微云, 翁恩琪编著. 环境毒理学. 厦门大学出版社, 1993年出版.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周群英, 王士芬. 环境工程微生物学（第4版）. 高等教育出版社, 2015年出版.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左玉辉主编. 环境学概论（第2版）. 高等教育出版社, 2008年出版.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[英]西蒙贾德（Judd, S）著; 陈福泰, 黄霞译. 膜生物反应器: 水和污水处理的原理与应用. 科学出版社, 2010年出版.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[美]托马斯, [美]威廉著; 张钟宪等译. 环境化学. 清华大学出版社, 2007年出版.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 xml:space="preserve">Bruce E. Rittmann, Perry L. McCarty著; 文湘华, 王建龙译. 环境生物技术: 原理与应用. </w:t>
      </w:r>
      <w:r>
        <w:rPr>
          <w:rStyle w:val="41"/>
          <w:rFonts w:ascii="Times New Roman" w:hAnsi="Times New Roman" w:cs="Times New Roman" w:eastAsiaTheme="minorEastAsia"/>
        </w:rPr>
        <w:tab/>
      </w:r>
      <w:r>
        <w:rPr>
          <w:rStyle w:val="41"/>
          <w:rFonts w:ascii="Times New Roman" w:hAnsi="Times New Roman" w:cs="Times New Roman" w:eastAsiaTheme="minorEastAsia"/>
        </w:rPr>
        <w:t>清华大学出版社, 2012年出版.</w:t>
      </w:r>
    </w:p>
    <w:p>
      <w:pPr>
        <w:numPr>
          <w:ilvl w:val="0"/>
          <w:numId w:val="2"/>
        </w:numPr>
        <w:ind w:left="845"/>
        <w:rPr>
          <w:rStyle w:val="41"/>
          <w:rFonts w:ascii="Times New Roman" w:hAnsi="Times New Roman" w:cs="Times New Roman" w:eastAsiaTheme="minorEastAsia"/>
        </w:rPr>
      </w:pPr>
      <w:r>
        <w:rPr>
          <w:rStyle w:val="41"/>
          <w:rFonts w:ascii="Times New Roman" w:hAnsi="Times New Roman" w:cs="Times New Roman" w:eastAsiaTheme="minorEastAsia"/>
        </w:rPr>
        <w:t>William P. Cunningham, Mary Ann Cunningham. 环境科学—全球关注的问题（第13版）. 清华大学出版社, 2018年出版.</w:t>
      </w:r>
    </w:p>
    <w:p>
      <w:pPr>
        <w:ind w:firstLine="480" w:firstLineChars="200"/>
        <w:rPr>
          <w:rFonts w:ascii="黑体" w:hAnsi="黑体" w:eastAsia="黑体" w:cs="Times New Roman"/>
          <w:sz w:val="24"/>
          <w:szCs w:val="24"/>
        </w:rPr>
      </w:pPr>
    </w:p>
    <w:sectPr>
      <w:footerReference r:id="rId3" w:type="default"/>
      <w:pgSz w:w="11906" w:h="16838"/>
      <w:pgMar w:top="1440" w:right="1021" w:bottom="1440"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612640"/>
    </w:sdtPr>
    <w:sdtContent>
      <w:sdt>
        <w:sdtPr>
          <w:id w:val="1728636285"/>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5AFA3"/>
    <w:multiLevelType w:val="singleLevel"/>
    <w:tmpl w:val="01F5AFA3"/>
    <w:lvl w:ilvl="0" w:tentative="0">
      <w:start w:val="1"/>
      <w:numFmt w:val="decimal"/>
      <w:suff w:val="nothing"/>
      <w:lvlText w:val="%1．"/>
      <w:lvlJc w:val="left"/>
      <w:pPr>
        <w:ind w:left="0" w:firstLine="400"/>
      </w:pPr>
      <w:rPr>
        <w:rFonts w:hint="default" w:ascii="Times New Roman" w:hAnsi="Times New Roman" w:cs="Times New Roman"/>
      </w:rPr>
    </w:lvl>
  </w:abstractNum>
  <w:abstractNum w:abstractNumId="1">
    <w:nsid w:val="0B512183"/>
    <w:multiLevelType w:val="singleLevel"/>
    <w:tmpl w:val="0B512183"/>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4A"/>
    <w:rsid w:val="000005FA"/>
    <w:rsid w:val="00013FD8"/>
    <w:rsid w:val="00016AB8"/>
    <w:rsid w:val="00016ECA"/>
    <w:rsid w:val="00025618"/>
    <w:rsid w:val="00027E6F"/>
    <w:rsid w:val="000363B6"/>
    <w:rsid w:val="000365B6"/>
    <w:rsid w:val="00043436"/>
    <w:rsid w:val="000446E6"/>
    <w:rsid w:val="00047BBA"/>
    <w:rsid w:val="00052286"/>
    <w:rsid w:val="00072580"/>
    <w:rsid w:val="000854DE"/>
    <w:rsid w:val="00086B54"/>
    <w:rsid w:val="0008779A"/>
    <w:rsid w:val="00092672"/>
    <w:rsid w:val="00096BE2"/>
    <w:rsid w:val="00096DB3"/>
    <w:rsid w:val="000C360B"/>
    <w:rsid w:val="000D6055"/>
    <w:rsid w:val="000D74E7"/>
    <w:rsid w:val="000D7AC7"/>
    <w:rsid w:val="000E18C1"/>
    <w:rsid w:val="000E280C"/>
    <w:rsid w:val="000E3724"/>
    <w:rsid w:val="000E7F48"/>
    <w:rsid w:val="000F0905"/>
    <w:rsid w:val="00101B84"/>
    <w:rsid w:val="001042F5"/>
    <w:rsid w:val="00106A3E"/>
    <w:rsid w:val="0010739F"/>
    <w:rsid w:val="00112532"/>
    <w:rsid w:val="0011354A"/>
    <w:rsid w:val="00113BAC"/>
    <w:rsid w:val="001142B3"/>
    <w:rsid w:val="001272F2"/>
    <w:rsid w:val="00130B86"/>
    <w:rsid w:val="00130F57"/>
    <w:rsid w:val="001321E3"/>
    <w:rsid w:val="001358D5"/>
    <w:rsid w:val="00147E24"/>
    <w:rsid w:val="0015280E"/>
    <w:rsid w:val="00155F8E"/>
    <w:rsid w:val="00160737"/>
    <w:rsid w:val="00160DC6"/>
    <w:rsid w:val="00163915"/>
    <w:rsid w:val="00165707"/>
    <w:rsid w:val="00166328"/>
    <w:rsid w:val="001670EF"/>
    <w:rsid w:val="00167926"/>
    <w:rsid w:val="00167F71"/>
    <w:rsid w:val="001772B1"/>
    <w:rsid w:val="001953D9"/>
    <w:rsid w:val="00195556"/>
    <w:rsid w:val="001A4CCA"/>
    <w:rsid w:val="001B021F"/>
    <w:rsid w:val="001B5675"/>
    <w:rsid w:val="001C1EA1"/>
    <w:rsid w:val="001C27BF"/>
    <w:rsid w:val="001C2DD7"/>
    <w:rsid w:val="001C32D8"/>
    <w:rsid w:val="001C42BD"/>
    <w:rsid w:val="001D5106"/>
    <w:rsid w:val="001F1554"/>
    <w:rsid w:val="001F4BA6"/>
    <w:rsid w:val="001F6A09"/>
    <w:rsid w:val="001F6FD4"/>
    <w:rsid w:val="00223A4E"/>
    <w:rsid w:val="00226EFE"/>
    <w:rsid w:val="00233F4F"/>
    <w:rsid w:val="00241688"/>
    <w:rsid w:val="00245C9B"/>
    <w:rsid w:val="00253F2F"/>
    <w:rsid w:val="0026288C"/>
    <w:rsid w:val="00264E7E"/>
    <w:rsid w:val="00270A23"/>
    <w:rsid w:val="00271FA7"/>
    <w:rsid w:val="0027312B"/>
    <w:rsid w:val="00284BBB"/>
    <w:rsid w:val="002900A4"/>
    <w:rsid w:val="002A1E08"/>
    <w:rsid w:val="002B209A"/>
    <w:rsid w:val="002B29DF"/>
    <w:rsid w:val="002B34F6"/>
    <w:rsid w:val="002B4A17"/>
    <w:rsid w:val="002C0D87"/>
    <w:rsid w:val="002C6509"/>
    <w:rsid w:val="002E1498"/>
    <w:rsid w:val="002F0D97"/>
    <w:rsid w:val="003003DE"/>
    <w:rsid w:val="00315291"/>
    <w:rsid w:val="0031684B"/>
    <w:rsid w:val="0032321A"/>
    <w:rsid w:val="00327BEB"/>
    <w:rsid w:val="00337779"/>
    <w:rsid w:val="00344466"/>
    <w:rsid w:val="00362C41"/>
    <w:rsid w:val="00363A25"/>
    <w:rsid w:val="0036663E"/>
    <w:rsid w:val="00372E8C"/>
    <w:rsid w:val="003800E8"/>
    <w:rsid w:val="003809D1"/>
    <w:rsid w:val="00381932"/>
    <w:rsid w:val="003820E7"/>
    <w:rsid w:val="003824E5"/>
    <w:rsid w:val="003874AD"/>
    <w:rsid w:val="003941B5"/>
    <w:rsid w:val="003A12BC"/>
    <w:rsid w:val="003A3F7B"/>
    <w:rsid w:val="003A7D69"/>
    <w:rsid w:val="003B02AC"/>
    <w:rsid w:val="003B2DE8"/>
    <w:rsid w:val="003B3350"/>
    <w:rsid w:val="003B3954"/>
    <w:rsid w:val="003C2748"/>
    <w:rsid w:val="003C4CD7"/>
    <w:rsid w:val="003D1407"/>
    <w:rsid w:val="003D3C60"/>
    <w:rsid w:val="003E039F"/>
    <w:rsid w:val="003F2940"/>
    <w:rsid w:val="003F6B11"/>
    <w:rsid w:val="004026DD"/>
    <w:rsid w:val="004040D6"/>
    <w:rsid w:val="0041139F"/>
    <w:rsid w:val="004128A6"/>
    <w:rsid w:val="00420618"/>
    <w:rsid w:val="00424684"/>
    <w:rsid w:val="00435D1C"/>
    <w:rsid w:val="00440921"/>
    <w:rsid w:val="004435CA"/>
    <w:rsid w:val="0044755C"/>
    <w:rsid w:val="00457EE7"/>
    <w:rsid w:val="00461C69"/>
    <w:rsid w:val="004853DF"/>
    <w:rsid w:val="004949C4"/>
    <w:rsid w:val="004A0004"/>
    <w:rsid w:val="004B3FA8"/>
    <w:rsid w:val="004B7E3C"/>
    <w:rsid w:val="004C4105"/>
    <w:rsid w:val="004F2806"/>
    <w:rsid w:val="00502D30"/>
    <w:rsid w:val="00516DA2"/>
    <w:rsid w:val="00524C67"/>
    <w:rsid w:val="005253F6"/>
    <w:rsid w:val="00540DF9"/>
    <w:rsid w:val="00545F66"/>
    <w:rsid w:val="005510E4"/>
    <w:rsid w:val="005569B8"/>
    <w:rsid w:val="00577078"/>
    <w:rsid w:val="005B64BC"/>
    <w:rsid w:val="005C2D7A"/>
    <w:rsid w:val="005D17CC"/>
    <w:rsid w:val="005D379D"/>
    <w:rsid w:val="005E5133"/>
    <w:rsid w:val="005F2D87"/>
    <w:rsid w:val="005F3B62"/>
    <w:rsid w:val="005F7624"/>
    <w:rsid w:val="006018C7"/>
    <w:rsid w:val="0060372E"/>
    <w:rsid w:val="006040E0"/>
    <w:rsid w:val="00611894"/>
    <w:rsid w:val="00623C0D"/>
    <w:rsid w:val="00624941"/>
    <w:rsid w:val="006332C9"/>
    <w:rsid w:val="006455C5"/>
    <w:rsid w:val="00652EF7"/>
    <w:rsid w:val="00653908"/>
    <w:rsid w:val="00657769"/>
    <w:rsid w:val="006610FE"/>
    <w:rsid w:val="006619FF"/>
    <w:rsid w:val="00663E67"/>
    <w:rsid w:val="00664960"/>
    <w:rsid w:val="00665C5C"/>
    <w:rsid w:val="00674275"/>
    <w:rsid w:val="0068342A"/>
    <w:rsid w:val="00685449"/>
    <w:rsid w:val="006A7435"/>
    <w:rsid w:val="006B2376"/>
    <w:rsid w:val="006B65DB"/>
    <w:rsid w:val="006B694E"/>
    <w:rsid w:val="006B7E39"/>
    <w:rsid w:val="006C6A95"/>
    <w:rsid w:val="006E2FA2"/>
    <w:rsid w:val="006E4AD9"/>
    <w:rsid w:val="00715179"/>
    <w:rsid w:val="00724CDC"/>
    <w:rsid w:val="00727153"/>
    <w:rsid w:val="00735CDE"/>
    <w:rsid w:val="00736EC4"/>
    <w:rsid w:val="00740585"/>
    <w:rsid w:val="00741441"/>
    <w:rsid w:val="007416D2"/>
    <w:rsid w:val="007559C0"/>
    <w:rsid w:val="00761434"/>
    <w:rsid w:val="0076190D"/>
    <w:rsid w:val="007665E2"/>
    <w:rsid w:val="00772BE2"/>
    <w:rsid w:val="00784C91"/>
    <w:rsid w:val="0078708B"/>
    <w:rsid w:val="007873C0"/>
    <w:rsid w:val="00793F88"/>
    <w:rsid w:val="00796EA2"/>
    <w:rsid w:val="007A0C86"/>
    <w:rsid w:val="007A7458"/>
    <w:rsid w:val="007C328C"/>
    <w:rsid w:val="007C7607"/>
    <w:rsid w:val="007D3D26"/>
    <w:rsid w:val="007D4815"/>
    <w:rsid w:val="007E0EEA"/>
    <w:rsid w:val="007E1597"/>
    <w:rsid w:val="007F1C51"/>
    <w:rsid w:val="007F3BDD"/>
    <w:rsid w:val="007F51AD"/>
    <w:rsid w:val="00804F2D"/>
    <w:rsid w:val="00807958"/>
    <w:rsid w:val="00810261"/>
    <w:rsid w:val="0081595C"/>
    <w:rsid w:val="00816831"/>
    <w:rsid w:val="00820D96"/>
    <w:rsid w:val="00823B04"/>
    <w:rsid w:val="00826B78"/>
    <w:rsid w:val="00826BFF"/>
    <w:rsid w:val="0083551F"/>
    <w:rsid w:val="0085716B"/>
    <w:rsid w:val="00860EB7"/>
    <w:rsid w:val="00862090"/>
    <w:rsid w:val="00871D6D"/>
    <w:rsid w:val="008725F8"/>
    <w:rsid w:val="00875A41"/>
    <w:rsid w:val="00880F1C"/>
    <w:rsid w:val="00881475"/>
    <w:rsid w:val="00882C12"/>
    <w:rsid w:val="00893D73"/>
    <w:rsid w:val="008A0D70"/>
    <w:rsid w:val="008A4DE1"/>
    <w:rsid w:val="008B0A0C"/>
    <w:rsid w:val="008B6CAF"/>
    <w:rsid w:val="008C5C77"/>
    <w:rsid w:val="008E1F9E"/>
    <w:rsid w:val="008E2FF7"/>
    <w:rsid w:val="008F3F20"/>
    <w:rsid w:val="0092312A"/>
    <w:rsid w:val="00924157"/>
    <w:rsid w:val="00930603"/>
    <w:rsid w:val="009364FF"/>
    <w:rsid w:val="009367EC"/>
    <w:rsid w:val="0094177A"/>
    <w:rsid w:val="00961A81"/>
    <w:rsid w:val="0097387E"/>
    <w:rsid w:val="00977E15"/>
    <w:rsid w:val="00990157"/>
    <w:rsid w:val="009A68E4"/>
    <w:rsid w:val="009B4726"/>
    <w:rsid w:val="009B5870"/>
    <w:rsid w:val="009B6A07"/>
    <w:rsid w:val="009D28EB"/>
    <w:rsid w:val="009E0A57"/>
    <w:rsid w:val="009E312F"/>
    <w:rsid w:val="009F63DC"/>
    <w:rsid w:val="00A11884"/>
    <w:rsid w:val="00A14330"/>
    <w:rsid w:val="00A15833"/>
    <w:rsid w:val="00A261BB"/>
    <w:rsid w:val="00A35702"/>
    <w:rsid w:val="00A40745"/>
    <w:rsid w:val="00A439DA"/>
    <w:rsid w:val="00A567AA"/>
    <w:rsid w:val="00A577A1"/>
    <w:rsid w:val="00A70B14"/>
    <w:rsid w:val="00A7158B"/>
    <w:rsid w:val="00A739C2"/>
    <w:rsid w:val="00A81D6B"/>
    <w:rsid w:val="00A84D70"/>
    <w:rsid w:val="00AA7EEB"/>
    <w:rsid w:val="00AC3122"/>
    <w:rsid w:val="00AD38DE"/>
    <w:rsid w:val="00AE23BE"/>
    <w:rsid w:val="00B20626"/>
    <w:rsid w:val="00B26348"/>
    <w:rsid w:val="00B3697A"/>
    <w:rsid w:val="00B37AFC"/>
    <w:rsid w:val="00B54904"/>
    <w:rsid w:val="00B606AE"/>
    <w:rsid w:val="00B67477"/>
    <w:rsid w:val="00B82817"/>
    <w:rsid w:val="00B9125C"/>
    <w:rsid w:val="00B91890"/>
    <w:rsid w:val="00B933C4"/>
    <w:rsid w:val="00BA64CB"/>
    <w:rsid w:val="00BA6BF2"/>
    <w:rsid w:val="00BB0BC7"/>
    <w:rsid w:val="00BC1E20"/>
    <w:rsid w:val="00BC4790"/>
    <w:rsid w:val="00BC7A24"/>
    <w:rsid w:val="00BD077B"/>
    <w:rsid w:val="00BE5F4A"/>
    <w:rsid w:val="00BE649C"/>
    <w:rsid w:val="00BF27D0"/>
    <w:rsid w:val="00BF5706"/>
    <w:rsid w:val="00C068C9"/>
    <w:rsid w:val="00C070E2"/>
    <w:rsid w:val="00C16BC4"/>
    <w:rsid w:val="00C25AF6"/>
    <w:rsid w:val="00C270FF"/>
    <w:rsid w:val="00C35707"/>
    <w:rsid w:val="00C4172E"/>
    <w:rsid w:val="00C4173E"/>
    <w:rsid w:val="00C41BE0"/>
    <w:rsid w:val="00C438B0"/>
    <w:rsid w:val="00C461B2"/>
    <w:rsid w:val="00C55E31"/>
    <w:rsid w:val="00C569E7"/>
    <w:rsid w:val="00C64A27"/>
    <w:rsid w:val="00C67EBC"/>
    <w:rsid w:val="00C71E7F"/>
    <w:rsid w:val="00C77387"/>
    <w:rsid w:val="00C83874"/>
    <w:rsid w:val="00C85C0D"/>
    <w:rsid w:val="00C86B34"/>
    <w:rsid w:val="00CA008F"/>
    <w:rsid w:val="00CA1D8D"/>
    <w:rsid w:val="00CB2E02"/>
    <w:rsid w:val="00CC2CCB"/>
    <w:rsid w:val="00CC44BA"/>
    <w:rsid w:val="00CC6C23"/>
    <w:rsid w:val="00CD4A99"/>
    <w:rsid w:val="00CE17DE"/>
    <w:rsid w:val="00CF05ED"/>
    <w:rsid w:val="00CF07DB"/>
    <w:rsid w:val="00CF2380"/>
    <w:rsid w:val="00CF2C32"/>
    <w:rsid w:val="00D01D4D"/>
    <w:rsid w:val="00D01FFD"/>
    <w:rsid w:val="00D0298C"/>
    <w:rsid w:val="00D02CBC"/>
    <w:rsid w:val="00D074AE"/>
    <w:rsid w:val="00D17041"/>
    <w:rsid w:val="00D22B79"/>
    <w:rsid w:val="00D22E5F"/>
    <w:rsid w:val="00D27407"/>
    <w:rsid w:val="00D30746"/>
    <w:rsid w:val="00D34F56"/>
    <w:rsid w:val="00D51234"/>
    <w:rsid w:val="00D53CB7"/>
    <w:rsid w:val="00D65B53"/>
    <w:rsid w:val="00D701C6"/>
    <w:rsid w:val="00D718DE"/>
    <w:rsid w:val="00D720B0"/>
    <w:rsid w:val="00D724FA"/>
    <w:rsid w:val="00D72D00"/>
    <w:rsid w:val="00D83174"/>
    <w:rsid w:val="00D97187"/>
    <w:rsid w:val="00DA609F"/>
    <w:rsid w:val="00DB0352"/>
    <w:rsid w:val="00DB1BA6"/>
    <w:rsid w:val="00DB41B1"/>
    <w:rsid w:val="00DB56D6"/>
    <w:rsid w:val="00DC5E59"/>
    <w:rsid w:val="00DC7106"/>
    <w:rsid w:val="00DD0512"/>
    <w:rsid w:val="00DD257B"/>
    <w:rsid w:val="00DD38F3"/>
    <w:rsid w:val="00DF4928"/>
    <w:rsid w:val="00DF5316"/>
    <w:rsid w:val="00E00185"/>
    <w:rsid w:val="00E0276F"/>
    <w:rsid w:val="00E06665"/>
    <w:rsid w:val="00E10615"/>
    <w:rsid w:val="00E26FD0"/>
    <w:rsid w:val="00E31C37"/>
    <w:rsid w:val="00E430FE"/>
    <w:rsid w:val="00E45247"/>
    <w:rsid w:val="00E6066D"/>
    <w:rsid w:val="00E701F3"/>
    <w:rsid w:val="00E724FC"/>
    <w:rsid w:val="00E77447"/>
    <w:rsid w:val="00E779BA"/>
    <w:rsid w:val="00E83D17"/>
    <w:rsid w:val="00E903C5"/>
    <w:rsid w:val="00E92E06"/>
    <w:rsid w:val="00E95365"/>
    <w:rsid w:val="00EB2CBF"/>
    <w:rsid w:val="00EC2AC6"/>
    <w:rsid w:val="00EC3F55"/>
    <w:rsid w:val="00EC438A"/>
    <w:rsid w:val="00ED65CA"/>
    <w:rsid w:val="00ED6A50"/>
    <w:rsid w:val="00EE03CA"/>
    <w:rsid w:val="00EE0D8F"/>
    <w:rsid w:val="00EE2FD6"/>
    <w:rsid w:val="00EE6E33"/>
    <w:rsid w:val="00EF4A24"/>
    <w:rsid w:val="00EF5B24"/>
    <w:rsid w:val="00F01F3C"/>
    <w:rsid w:val="00F12B52"/>
    <w:rsid w:val="00F17824"/>
    <w:rsid w:val="00F22B56"/>
    <w:rsid w:val="00F23EFA"/>
    <w:rsid w:val="00F3090F"/>
    <w:rsid w:val="00F3188E"/>
    <w:rsid w:val="00F33870"/>
    <w:rsid w:val="00F357F5"/>
    <w:rsid w:val="00F54FEA"/>
    <w:rsid w:val="00F57603"/>
    <w:rsid w:val="00F669F9"/>
    <w:rsid w:val="00F673A0"/>
    <w:rsid w:val="00F80D03"/>
    <w:rsid w:val="00F81E16"/>
    <w:rsid w:val="00F87DE6"/>
    <w:rsid w:val="00F97B91"/>
    <w:rsid w:val="00FA379B"/>
    <w:rsid w:val="00FA7D22"/>
    <w:rsid w:val="00FB462B"/>
    <w:rsid w:val="00FB4B9C"/>
    <w:rsid w:val="00FB7BBB"/>
    <w:rsid w:val="00FF5BC1"/>
    <w:rsid w:val="04276397"/>
    <w:rsid w:val="066E71FF"/>
    <w:rsid w:val="06AB1B6A"/>
    <w:rsid w:val="0D097A64"/>
    <w:rsid w:val="27391AC1"/>
    <w:rsid w:val="43D535FF"/>
    <w:rsid w:val="4AA67BE3"/>
    <w:rsid w:val="57F0638A"/>
    <w:rsid w:val="59A73CB4"/>
    <w:rsid w:val="60DC4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jc w:val="center"/>
      <w:outlineLvl w:val="0"/>
    </w:pPr>
    <w:rPr>
      <w:rFonts w:ascii="Times New Roman" w:hAnsi="Times New Roman" w:eastAsia="宋体" w:cs="Times New Roman"/>
      <w:b/>
      <w:sz w:val="30"/>
      <w:szCs w:val="20"/>
    </w:rPr>
  </w:style>
  <w:style w:type="paragraph" w:styleId="3">
    <w:name w:val="heading 2"/>
    <w:basedOn w:val="1"/>
    <w:next w:val="1"/>
    <w:link w:val="18"/>
    <w:qFormat/>
    <w:uiPriority w:val="0"/>
    <w:pPr>
      <w:keepNext/>
      <w:outlineLvl w:val="1"/>
    </w:pPr>
    <w:rPr>
      <w:rFonts w:ascii="Times New Roman" w:hAnsi="Times New Roman" w:eastAsia="宋体" w:cs="Times New Roman"/>
      <w:b/>
      <w:szCs w:val="20"/>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szCs w:val="24"/>
    </w:rPr>
  </w:style>
  <w:style w:type="paragraph" w:styleId="5">
    <w:name w:val="Document Map"/>
    <w:basedOn w:val="1"/>
    <w:link w:val="31"/>
    <w:semiHidden/>
    <w:uiPriority w:val="0"/>
    <w:pPr>
      <w:shd w:val="clear" w:color="auto" w:fill="000080"/>
    </w:pPr>
    <w:rPr>
      <w:rFonts w:ascii="Times New Roman" w:hAnsi="Times New Roman" w:eastAsia="宋体" w:cs="Times New Roman"/>
      <w:szCs w:val="20"/>
    </w:rPr>
  </w:style>
  <w:style w:type="paragraph" w:styleId="6">
    <w:name w:val="annotation text"/>
    <w:basedOn w:val="1"/>
    <w:link w:val="38"/>
    <w:semiHidden/>
    <w:unhideWhenUsed/>
    <w:uiPriority w:val="99"/>
    <w:pPr>
      <w:jc w:val="left"/>
    </w:pPr>
  </w:style>
  <w:style w:type="paragraph" w:styleId="7">
    <w:name w:val="Body Text"/>
    <w:basedOn w:val="1"/>
    <w:link w:val="25"/>
    <w:semiHidden/>
    <w:unhideWhenUsed/>
    <w:uiPriority w:val="99"/>
    <w:pPr>
      <w:spacing w:after="120"/>
    </w:pPr>
  </w:style>
  <w:style w:type="paragraph" w:styleId="8">
    <w:name w:val="Plain Text"/>
    <w:basedOn w:val="1"/>
    <w:link w:val="46"/>
    <w:unhideWhenUsed/>
    <w:qFormat/>
    <w:uiPriority w:val="0"/>
    <w:rPr>
      <w:rFonts w:ascii="宋体" w:hAnsi="Courier New" w:eastAsia="宋体" w:cs="Times New Roman"/>
      <w:szCs w:val="20"/>
    </w:rPr>
  </w:style>
  <w:style w:type="paragraph" w:styleId="9">
    <w:name w:val="Balloon Text"/>
    <w:basedOn w:val="1"/>
    <w:link w:val="19"/>
    <w:unhideWhenUsed/>
    <w:qFormat/>
    <w:uiPriority w:val="0"/>
    <w:rPr>
      <w:sz w:val="18"/>
      <w:szCs w:val="18"/>
    </w:rPr>
  </w:style>
  <w:style w:type="paragraph" w:styleId="10">
    <w:name w:val="footer"/>
    <w:basedOn w:val="1"/>
    <w:link w:val="20"/>
    <w:unhideWhenUsed/>
    <w:uiPriority w:val="99"/>
    <w:pPr>
      <w:tabs>
        <w:tab w:val="center" w:pos="4153"/>
        <w:tab w:val="right" w:pos="8306"/>
      </w:tabs>
      <w:snapToGrid w:val="0"/>
      <w:jc w:val="left"/>
    </w:pPr>
    <w:rPr>
      <w:sz w:val="18"/>
      <w:szCs w:val="18"/>
    </w:rPr>
  </w:style>
  <w:style w:type="paragraph" w:styleId="11">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3">
    <w:name w:val="Title"/>
    <w:basedOn w:val="1"/>
    <w:next w:val="1"/>
    <w:link w:val="27"/>
    <w:qFormat/>
    <w:uiPriority w:val="10"/>
    <w:pPr>
      <w:spacing w:before="240" w:after="60"/>
      <w:jc w:val="center"/>
      <w:outlineLvl w:val="0"/>
    </w:pPr>
    <w:rPr>
      <w:rFonts w:ascii="Calibri Light" w:hAnsi="Calibri Light" w:eastAsia="宋体" w:cs="Times New Roman"/>
      <w:b/>
      <w:bCs/>
      <w:kern w:val="0"/>
      <w:sz w:val="32"/>
      <w:szCs w:val="32"/>
    </w:rPr>
  </w:style>
  <w:style w:type="table" w:styleId="15">
    <w:name w:val="Table Grid"/>
    <w:basedOn w:val="14"/>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qFormat/>
    <w:uiPriority w:val="0"/>
    <w:rPr>
      <w:b/>
      <w:kern w:val="2"/>
      <w:sz w:val="30"/>
    </w:rPr>
  </w:style>
  <w:style w:type="character" w:customStyle="1" w:styleId="18">
    <w:name w:val="标题 2 字符"/>
    <w:basedOn w:val="16"/>
    <w:link w:val="3"/>
    <w:qFormat/>
    <w:uiPriority w:val="0"/>
    <w:rPr>
      <w:b/>
      <w:kern w:val="2"/>
      <w:sz w:val="21"/>
    </w:rPr>
  </w:style>
  <w:style w:type="character" w:customStyle="1" w:styleId="19">
    <w:name w:val="批注框文本 字符"/>
    <w:basedOn w:val="16"/>
    <w:link w:val="9"/>
    <w:qFormat/>
    <w:uiPriority w:val="0"/>
    <w:rPr>
      <w:sz w:val="18"/>
      <w:szCs w:val="18"/>
    </w:rPr>
  </w:style>
  <w:style w:type="character" w:customStyle="1" w:styleId="20">
    <w:name w:val="页脚 字符"/>
    <w:basedOn w:val="16"/>
    <w:link w:val="10"/>
    <w:qFormat/>
    <w:uiPriority w:val="99"/>
    <w:rPr>
      <w:sz w:val="18"/>
      <w:szCs w:val="18"/>
    </w:rPr>
  </w:style>
  <w:style w:type="character" w:customStyle="1" w:styleId="21">
    <w:name w:val="页眉 字符"/>
    <w:basedOn w:val="16"/>
    <w:link w:val="11"/>
    <w:qFormat/>
    <w:uiPriority w:val="99"/>
    <w:rPr>
      <w:sz w:val="18"/>
      <w:szCs w:val="18"/>
    </w:rPr>
  </w:style>
  <w:style w:type="character" w:customStyle="1" w:styleId="22">
    <w:name w:val="HTML 预设格式 字符"/>
    <w:basedOn w:val="16"/>
    <w:link w:val="12"/>
    <w:semiHidden/>
    <w:qFormat/>
    <w:uiPriority w:val="99"/>
    <w:rPr>
      <w:rFonts w:ascii="Arial" w:hAnsi="Arial" w:eastAsia="宋体" w:cs="Arial"/>
      <w:kern w:val="0"/>
      <w:sz w:val="24"/>
      <w:szCs w:val="24"/>
    </w:rPr>
  </w:style>
  <w:style w:type="paragraph" w:customStyle="1" w:styleId="23">
    <w:name w:val="Table Paragraph"/>
    <w:basedOn w:val="1"/>
    <w:qFormat/>
    <w:uiPriority w:val="1"/>
    <w:pPr>
      <w:jc w:val="left"/>
    </w:pPr>
    <w:rPr>
      <w:kern w:val="0"/>
      <w:sz w:val="22"/>
      <w:lang w:eastAsia="en-US"/>
    </w:rPr>
  </w:style>
  <w:style w:type="paragraph" w:customStyle="1" w:styleId="24">
    <w:name w:val="填入的文字"/>
    <w:basedOn w:val="7"/>
    <w:link w:val="26"/>
    <w:qFormat/>
    <w:uiPriority w:val="0"/>
  </w:style>
  <w:style w:type="character" w:customStyle="1" w:styleId="25">
    <w:name w:val="正文文本 字符"/>
    <w:basedOn w:val="16"/>
    <w:link w:val="7"/>
    <w:semiHidden/>
    <w:qFormat/>
    <w:uiPriority w:val="99"/>
    <w:rPr>
      <w:rFonts w:asciiTheme="minorHAnsi" w:hAnsiTheme="minorHAnsi" w:eastAsiaTheme="minorEastAsia" w:cstheme="minorBidi"/>
      <w:kern w:val="2"/>
      <w:sz w:val="21"/>
      <w:szCs w:val="22"/>
    </w:rPr>
  </w:style>
  <w:style w:type="character" w:customStyle="1" w:styleId="26">
    <w:name w:val="填入的文字 Char"/>
    <w:basedOn w:val="25"/>
    <w:link w:val="24"/>
    <w:qFormat/>
    <w:uiPriority w:val="0"/>
    <w:rPr>
      <w:rFonts w:asciiTheme="minorHAnsi" w:hAnsiTheme="minorHAnsi" w:eastAsiaTheme="minorEastAsia" w:cstheme="minorBidi"/>
      <w:kern w:val="2"/>
      <w:sz w:val="21"/>
      <w:szCs w:val="22"/>
    </w:rPr>
  </w:style>
  <w:style w:type="character" w:customStyle="1" w:styleId="27">
    <w:name w:val="标题 字符"/>
    <w:link w:val="13"/>
    <w:qFormat/>
    <w:uiPriority w:val="10"/>
    <w:rPr>
      <w:rFonts w:ascii="Calibri Light" w:hAnsi="Calibri Light"/>
      <w:b/>
      <w:bCs/>
      <w:sz w:val="32"/>
      <w:szCs w:val="32"/>
    </w:rPr>
  </w:style>
  <w:style w:type="paragraph" w:customStyle="1" w:styleId="28">
    <w:name w:val="简单回函地址"/>
    <w:basedOn w:val="1"/>
    <w:qFormat/>
    <w:uiPriority w:val="0"/>
    <w:rPr>
      <w:rFonts w:ascii="Times New Roman" w:hAnsi="Times New Roman" w:eastAsia="宋体" w:cs="Times New Roman"/>
      <w:szCs w:val="20"/>
    </w:rPr>
  </w:style>
  <w:style w:type="character" w:customStyle="1" w:styleId="29">
    <w:name w:val="标题 字符1"/>
    <w:basedOn w:val="16"/>
    <w:qFormat/>
    <w:uiPriority w:val="10"/>
    <w:rPr>
      <w:rFonts w:asciiTheme="majorHAnsi" w:hAnsiTheme="majorHAnsi" w:eastAsiaTheme="majorEastAsia" w:cstheme="majorBidi"/>
      <w:b/>
      <w:bCs/>
      <w:kern w:val="2"/>
      <w:sz w:val="32"/>
      <w:szCs w:val="32"/>
    </w:rPr>
  </w:style>
  <w:style w:type="character" w:customStyle="1" w:styleId="30">
    <w:name w:val="标题 Char1"/>
    <w:basedOn w:val="16"/>
    <w:uiPriority w:val="10"/>
    <w:rPr>
      <w:rFonts w:eastAsia="宋体" w:asciiTheme="majorHAnsi" w:hAnsiTheme="majorHAnsi" w:cstheme="majorBidi"/>
      <w:b/>
      <w:bCs/>
      <w:sz w:val="32"/>
      <w:szCs w:val="32"/>
    </w:rPr>
  </w:style>
  <w:style w:type="character" w:customStyle="1" w:styleId="31">
    <w:name w:val="文档结构图 字符"/>
    <w:basedOn w:val="16"/>
    <w:link w:val="5"/>
    <w:semiHidden/>
    <w:qFormat/>
    <w:uiPriority w:val="0"/>
    <w:rPr>
      <w:kern w:val="2"/>
      <w:sz w:val="21"/>
      <w:shd w:val="clear" w:color="auto" w:fill="000080"/>
    </w:rPr>
  </w:style>
  <w:style w:type="paragraph" w:styleId="32">
    <w:name w:val="List Paragraph"/>
    <w:basedOn w:val="1"/>
    <w:qFormat/>
    <w:uiPriority w:val="34"/>
    <w:pPr>
      <w:spacing w:line="360" w:lineRule="auto"/>
      <w:ind w:firstLine="420" w:firstLineChars="200"/>
    </w:pPr>
    <w:rPr>
      <w:rFonts w:ascii="Calibri" w:hAnsi="Calibri" w:eastAsia="宋体" w:cs="Calibri"/>
      <w:color w:val="000000" w:themeColor="text1"/>
      <w:sz w:val="24"/>
      <w:szCs w:val="21"/>
      <w14:textFill>
        <w14:solidFill>
          <w14:schemeClr w14:val="tx1"/>
        </w14:solidFill>
      </w14:textFill>
    </w:rPr>
  </w:style>
  <w:style w:type="character" w:customStyle="1" w:styleId="33">
    <w:name w:val="明显强调1"/>
    <w:basedOn w:val="16"/>
    <w:qFormat/>
    <w:uiPriority w:val="21"/>
    <w:rPr>
      <w:i/>
      <w:iCs/>
      <w:color w:val="5B9BD5" w:themeColor="accent1"/>
      <w14:textFill>
        <w14:solidFill>
          <w14:schemeClr w14:val="accent1"/>
        </w14:solidFill>
      </w14:textFill>
    </w:rPr>
  </w:style>
  <w:style w:type="paragraph" w:customStyle="1" w:styleId="34">
    <w:name w:val="图表名称"/>
    <w:basedOn w:val="1"/>
    <w:link w:val="35"/>
    <w:qFormat/>
    <w:uiPriority w:val="0"/>
    <w:pPr>
      <w:adjustRightInd w:val="0"/>
      <w:snapToGrid w:val="0"/>
      <w:spacing w:before="50" w:beforeLines="50" w:after="50" w:afterLines="50" w:line="500" w:lineRule="exact"/>
      <w:jc w:val="center"/>
    </w:pPr>
    <w:rPr>
      <w:rFonts w:ascii="Times New Roman" w:hAnsi="Times New Roman" w:eastAsia="华文楷体"/>
      <w:b/>
    </w:rPr>
  </w:style>
  <w:style w:type="character" w:customStyle="1" w:styleId="35">
    <w:name w:val="图表名称 Char"/>
    <w:basedOn w:val="16"/>
    <w:link w:val="34"/>
    <w:uiPriority w:val="0"/>
    <w:rPr>
      <w:rFonts w:eastAsia="华文楷体" w:cstheme="minorBidi"/>
      <w:b/>
      <w:kern w:val="2"/>
      <w:sz w:val="21"/>
      <w:szCs w:val="22"/>
    </w:rPr>
  </w:style>
  <w:style w:type="paragraph" w:customStyle="1" w:styleId="36">
    <w:name w:val="三级标题"/>
    <w:basedOn w:val="1"/>
    <w:link w:val="37"/>
    <w:qFormat/>
    <w:uiPriority w:val="0"/>
    <w:pPr>
      <w:widowControl/>
      <w:spacing w:before="50" w:beforeLines="50" w:after="50" w:afterLines="50" w:line="360" w:lineRule="auto"/>
    </w:pPr>
    <w:rPr>
      <w:rFonts w:ascii="Times New Roman" w:hAnsi="Times New Roman" w:eastAsia="黑体" w:cs="黑体"/>
      <w:b/>
      <w:color w:val="000000"/>
      <w:sz w:val="32"/>
    </w:rPr>
  </w:style>
  <w:style w:type="character" w:customStyle="1" w:styleId="37">
    <w:name w:val="三级标题 Char"/>
    <w:link w:val="36"/>
    <w:uiPriority w:val="0"/>
    <w:rPr>
      <w:rFonts w:eastAsia="黑体" w:cs="黑体"/>
      <w:b/>
      <w:color w:val="000000"/>
      <w:kern w:val="2"/>
      <w:sz w:val="32"/>
      <w:szCs w:val="22"/>
    </w:rPr>
  </w:style>
  <w:style w:type="character" w:customStyle="1" w:styleId="38">
    <w:name w:val="批注文字 字符"/>
    <w:basedOn w:val="16"/>
    <w:link w:val="6"/>
    <w:semiHidden/>
    <w:qFormat/>
    <w:uiPriority w:val="99"/>
    <w:rPr>
      <w:rFonts w:asciiTheme="minorHAnsi" w:hAnsiTheme="minorHAnsi" w:eastAsiaTheme="minorEastAsia" w:cstheme="minorBidi"/>
      <w:kern w:val="2"/>
      <w:sz w:val="21"/>
      <w:szCs w:val="22"/>
    </w:rPr>
  </w:style>
  <w:style w:type="paragraph" w:customStyle="1" w:styleId="39">
    <w:name w:val="表"/>
    <w:basedOn w:val="1"/>
    <w:qFormat/>
    <w:uiPriority w:val="0"/>
    <w:pPr>
      <w:spacing w:line="0" w:lineRule="atLeast"/>
    </w:pPr>
    <w:rPr>
      <w:rFonts w:eastAsia="华文细黑" w:cs="华文细黑"/>
      <w:kern w:val="10"/>
      <w:sz w:val="18"/>
      <w:szCs w:val="21"/>
    </w:rPr>
  </w:style>
  <w:style w:type="paragraph" w:customStyle="1" w:styleId="40">
    <w:name w:val="Default"/>
    <w:qFormat/>
    <w:uiPriority w:val="0"/>
    <w:pPr>
      <w:widowControl w:val="0"/>
      <w:autoSpaceDE w:val="0"/>
      <w:autoSpaceDN w:val="0"/>
      <w:adjustRightInd w:val="0"/>
    </w:pPr>
    <w:rPr>
      <w:rFonts w:ascii="楷体" w:hAnsi="楷体" w:eastAsia="宋体" w:cs="楷体"/>
      <w:color w:val="000000"/>
      <w:sz w:val="24"/>
      <w:szCs w:val="24"/>
      <w:lang w:val="en-US" w:eastAsia="zh-CN" w:bidi="ar-SA"/>
    </w:rPr>
  </w:style>
  <w:style w:type="character" w:customStyle="1" w:styleId="41">
    <w:name w:val="华文黑"/>
    <w:basedOn w:val="16"/>
    <w:qFormat/>
    <w:uiPriority w:val="0"/>
    <w:rPr>
      <w:rFonts w:ascii="等线" w:hAnsi="等线" w:eastAsia="华文细黑" w:cs="等线"/>
      <w:sz w:val="21"/>
      <w:szCs w:val="21"/>
    </w:rPr>
  </w:style>
  <w:style w:type="paragraph" w:customStyle="1" w:styleId="42">
    <w:name w:val="华标2"/>
    <w:basedOn w:val="3"/>
    <w:next w:val="1"/>
    <w:link w:val="43"/>
    <w:qFormat/>
    <w:uiPriority w:val="0"/>
    <w:pPr>
      <w:keepLines/>
      <w:adjustRightInd w:val="0"/>
      <w:snapToGrid w:val="0"/>
      <w:spacing w:before="120" w:after="120" w:line="288" w:lineRule="auto"/>
      <w:jc w:val="left"/>
    </w:pPr>
    <w:rPr>
      <w:rFonts w:ascii="等线" w:hAnsi="等线" w:eastAsia="黑体" w:cs="黑体"/>
      <w:bCs/>
      <w:color w:val="2F5597" w:themeColor="accent5" w:themeShade="BF"/>
      <w:sz w:val="24"/>
      <w:szCs w:val="28"/>
    </w:rPr>
  </w:style>
  <w:style w:type="character" w:customStyle="1" w:styleId="43">
    <w:name w:val="华标2 Char"/>
    <w:link w:val="42"/>
    <w:qFormat/>
    <w:uiPriority w:val="0"/>
    <w:rPr>
      <w:rFonts w:ascii="等线" w:hAnsi="等线" w:eastAsia="黑体" w:cs="黑体"/>
      <w:b/>
      <w:bCs/>
      <w:color w:val="2F5597" w:themeColor="accent5" w:themeShade="BF"/>
      <w:kern w:val="2"/>
      <w:sz w:val="24"/>
      <w:szCs w:val="28"/>
    </w:rPr>
  </w:style>
  <w:style w:type="paragraph" w:customStyle="1" w:styleId="44">
    <w:name w:val="华表1"/>
    <w:basedOn w:val="1"/>
    <w:link w:val="45"/>
    <w:qFormat/>
    <w:uiPriority w:val="0"/>
    <w:pPr>
      <w:spacing w:line="480" w:lineRule="auto"/>
      <w:jc w:val="center"/>
    </w:pPr>
    <w:rPr>
      <w:rFonts w:ascii="华文细黑" w:hAnsi="华文细黑" w:eastAsia="华文细黑" w:cs="华文细黑"/>
      <w:b/>
      <w:bCs/>
      <w:szCs w:val="21"/>
    </w:rPr>
  </w:style>
  <w:style w:type="character" w:customStyle="1" w:styleId="45">
    <w:name w:val="华表1 Char"/>
    <w:link w:val="44"/>
    <w:qFormat/>
    <w:uiPriority w:val="0"/>
    <w:rPr>
      <w:rFonts w:ascii="华文细黑" w:hAnsi="华文细黑" w:eastAsia="华文细黑" w:cs="华文细黑"/>
      <w:b/>
      <w:bCs/>
      <w:kern w:val="2"/>
      <w:sz w:val="21"/>
      <w:szCs w:val="21"/>
    </w:rPr>
  </w:style>
  <w:style w:type="character" w:customStyle="1" w:styleId="46">
    <w:name w:val="纯文本 字符"/>
    <w:basedOn w:val="16"/>
    <w:link w:val="8"/>
    <w:uiPriority w:val="0"/>
    <w:rPr>
      <w:rFonts w:ascii="宋体" w:hAnsi="Courier New"/>
      <w:kern w:val="2"/>
      <w:sz w:val="21"/>
    </w:rPr>
  </w:style>
  <w:style w:type="character" w:customStyle="1" w:styleId="47">
    <w:name w:val="ng-binding"/>
    <w:basedOn w:val="1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46333B-72BF-46B2-8806-0DC2C4608C5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2091</Words>
  <Characters>11921</Characters>
  <Lines>99</Lines>
  <Paragraphs>27</Paragraphs>
  <TotalTime>22</TotalTime>
  <ScaleCrop>false</ScaleCrop>
  <LinksUpToDate>false</LinksUpToDate>
  <CharactersWithSpaces>13985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2021-07-18T12:07:00Z</dcterms:created>
  <dc:creator>DELL</dc:creator>
  <cp:lastModifiedBy>Y</cp:lastModifiedBy>
  <cp:lastPrinted>2021-07-21T09:37:00Z</cp:lastPrinted>
  <dcterms:modified xsi:type="dcterms:W3CDTF">2021-10-26T07:29:26Z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63F0B36963A24E71A092BD63E8ED8268</vt:lpwstr>
  </property>
</Properties>
</file>